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FD021" w14:textId="77777777" w:rsidR="002A7398" w:rsidRDefault="002A7398" w:rsidP="002A7398">
      <w:pPr>
        <w:jc w:val="center"/>
        <w:outlineLvl w:val="0"/>
        <w:rPr>
          <w:rFonts w:ascii="Arial" w:hAnsi="Arial"/>
          <w:b/>
          <w:sz w:val="36"/>
          <w:szCs w:val="36"/>
        </w:rPr>
      </w:pPr>
      <w:bookmarkStart w:id="0" w:name="_Toc30172838"/>
      <w:bookmarkStart w:id="1" w:name="_Toc30173014"/>
      <w:bookmarkStart w:id="2" w:name="_Toc30173617"/>
      <w:bookmarkStart w:id="3" w:name="_Toc30173841"/>
      <w:bookmarkStart w:id="4" w:name="_Toc30173949"/>
      <w:bookmarkStart w:id="5" w:name="_Toc30174058"/>
      <w:bookmarkStart w:id="6" w:name="_Toc30174161"/>
      <w:bookmarkStart w:id="7" w:name="_Toc30174233"/>
      <w:bookmarkStart w:id="8" w:name="_Toc535393078"/>
    </w:p>
    <w:p w14:paraId="7111269C" w14:textId="5200D4C8" w:rsidR="009765CC" w:rsidRDefault="009765CC" w:rsidP="002A7398">
      <w:pPr>
        <w:jc w:val="center"/>
        <w:outlineLvl w:val="0"/>
        <w:rPr>
          <w:rFonts w:ascii="Arial" w:hAnsi="Arial"/>
          <w:b/>
          <w:sz w:val="36"/>
          <w:szCs w:val="36"/>
        </w:rPr>
      </w:pPr>
      <w:bookmarkStart w:id="9" w:name="_Toc61962819"/>
      <w:r w:rsidRPr="002A7398">
        <w:rPr>
          <w:rFonts w:ascii="Arial" w:hAnsi="Arial"/>
          <w:b/>
          <w:sz w:val="36"/>
          <w:szCs w:val="36"/>
        </w:rPr>
        <w:t>DR NKOSAZANA DLAMINI ZUMA LOCAL MUNICIPALITY</w:t>
      </w:r>
      <w:bookmarkEnd w:id="0"/>
      <w:bookmarkEnd w:id="1"/>
      <w:bookmarkEnd w:id="2"/>
      <w:bookmarkEnd w:id="3"/>
      <w:bookmarkEnd w:id="4"/>
      <w:bookmarkEnd w:id="5"/>
      <w:bookmarkEnd w:id="6"/>
      <w:bookmarkEnd w:id="7"/>
      <w:bookmarkEnd w:id="9"/>
    </w:p>
    <w:p w14:paraId="4D7EAC01" w14:textId="3405FDBE" w:rsidR="002A7398" w:rsidRDefault="002A7398" w:rsidP="002A7398">
      <w:pPr>
        <w:jc w:val="center"/>
        <w:outlineLvl w:val="0"/>
        <w:rPr>
          <w:rFonts w:ascii="Arial" w:hAnsi="Arial"/>
          <w:b/>
          <w:sz w:val="36"/>
          <w:szCs w:val="36"/>
        </w:rPr>
      </w:pPr>
    </w:p>
    <w:p w14:paraId="6CDB6A8C" w14:textId="697E8C4B" w:rsidR="002A7398" w:rsidRPr="002A7398" w:rsidRDefault="002A7398" w:rsidP="002A7398">
      <w:pPr>
        <w:jc w:val="center"/>
        <w:outlineLvl w:val="0"/>
        <w:rPr>
          <w:rFonts w:ascii="Arial" w:hAnsi="Arial"/>
          <w:b/>
          <w:sz w:val="36"/>
          <w:szCs w:val="36"/>
        </w:rPr>
      </w:pPr>
    </w:p>
    <w:p w14:paraId="247B17F5" w14:textId="77777777" w:rsidR="009765CC" w:rsidRDefault="009765CC" w:rsidP="002A7398">
      <w:pPr>
        <w:jc w:val="center"/>
        <w:outlineLvl w:val="0"/>
        <w:rPr>
          <w:rFonts w:ascii="Arial" w:hAnsi="Arial"/>
          <w:b/>
          <w:sz w:val="20"/>
          <w:szCs w:val="20"/>
        </w:rPr>
      </w:pPr>
    </w:p>
    <w:p w14:paraId="033D4585" w14:textId="6135FD0A" w:rsidR="009765CC" w:rsidRDefault="002A7398" w:rsidP="002A7398">
      <w:pPr>
        <w:jc w:val="center"/>
        <w:outlineLvl w:val="0"/>
        <w:rPr>
          <w:rFonts w:ascii="Arial" w:hAnsi="Arial"/>
          <w:b/>
          <w:sz w:val="20"/>
          <w:szCs w:val="20"/>
        </w:rPr>
      </w:pPr>
      <w:bookmarkStart w:id="10" w:name="_Toc30172839"/>
      <w:bookmarkStart w:id="11" w:name="_Toc30173015"/>
      <w:bookmarkStart w:id="12" w:name="_Toc30173618"/>
      <w:bookmarkStart w:id="13" w:name="_Toc30173842"/>
      <w:bookmarkStart w:id="14" w:name="_Toc30173950"/>
      <w:bookmarkStart w:id="15" w:name="_Toc30174059"/>
      <w:bookmarkStart w:id="16" w:name="_Toc30174162"/>
      <w:bookmarkStart w:id="17" w:name="_Toc30174234"/>
      <w:bookmarkStart w:id="18" w:name="_Toc61962820"/>
      <w:r>
        <w:rPr>
          <w:rFonts w:ascii="Arial" w:hAnsi="Arial"/>
          <w:b/>
          <w:noProof/>
          <w:sz w:val="20"/>
          <w:szCs w:val="20"/>
          <w:lang w:val="en-US" w:eastAsia="en-US"/>
        </w:rPr>
        <w:drawing>
          <wp:anchor distT="0" distB="0" distL="114300" distR="114300" simplePos="0" relativeHeight="251658752" behindDoc="1" locked="0" layoutInCell="1" allowOverlap="0" wp14:anchorId="4FC98B24" wp14:editId="355713F1">
            <wp:simplePos x="0" y="0"/>
            <wp:positionH relativeFrom="page">
              <wp:posOffset>2920047</wp:posOffset>
            </wp:positionH>
            <wp:positionV relativeFrom="page">
              <wp:posOffset>2596833</wp:posOffset>
            </wp:positionV>
            <wp:extent cx="1718945" cy="16548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1654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0"/>
      <w:bookmarkEnd w:id="11"/>
      <w:bookmarkEnd w:id="12"/>
      <w:bookmarkEnd w:id="13"/>
      <w:bookmarkEnd w:id="14"/>
      <w:bookmarkEnd w:id="15"/>
      <w:bookmarkEnd w:id="16"/>
      <w:bookmarkEnd w:id="17"/>
      <w:bookmarkEnd w:id="18"/>
    </w:p>
    <w:p w14:paraId="0D8263BF" w14:textId="77777777" w:rsidR="009765CC" w:rsidRDefault="009765CC" w:rsidP="002A7398">
      <w:pPr>
        <w:jc w:val="center"/>
        <w:outlineLvl w:val="0"/>
        <w:rPr>
          <w:rFonts w:ascii="Arial" w:hAnsi="Arial"/>
          <w:b/>
          <w:sz w:val="20"/>
          <w:szCs w:val="20"/>
        </w:rPr>
      </w:pPr>
    </w:p>
    <w:p w14:paraId="577A2D74" w14:textId="0531C3ED" w:rsidR="009765CC" w:rsidRDefault="009765CC" w:rsidP="002A7398">
      <w:pPr>
        <w:jc w:val="center"/>
        <w:outlineLvl w:val="0"/>
        <w:rPr>
          <w:rFonts w:ascii="Arial" w:hAnsi="Arial"/>
          <w:b/>
          <w:sz w:val="20"/>
          <w:szCs w:val="20"/>
        </w:rPr>
      </w:pPr>
    </w:p>
    <w:p w14:paraId="6B7180AD" w14:textId="77777777" w:rsidR="009765CC" w:rsidRDefault="009765CC" w:rsidP="002A7398">
      <w:pPr>
        <w:jc w:val="center"/>
        <w:outlineLvl w:val="0"/>
        <w:rPr>
          <w:rFonts w:ascii="Arial" w:hAnsi="Arial"/>
          <w:b/>
          <w:sz w:val="20"/>
          <w:szCs w:val="20"/>
        </w:rPr>
      </w:pPr>
    </w:p>
    <w:p w14:paraId="6304CB40" w14:textId="77777777" w:rsidR="009765CC" w:rsidRDefault="009765CC" w:rsidP="002A7398">
      <w:pPr>
        <w:jc w:val="center"/>
        <w:outlineLvl w:val="0"/>
        <w:rPr>
          <w:rFonts w:ascii="Arial" w:hAnsi="Arial"/>
          <w:b/>
          <w:sz w:val="20"/>
          <w:szCs w:val="20"/>
        </w:rPr>
      </w:pPr>
    </w:p>
    <w:p w14:paraId="05C4E6D7" w14:textId="77777777" w:rsidR="009765CC" w:rsidRDefault="009765CC" w:rsidP="002A7398">
      <w:pPr>
        <w:jc w:val="center"/>
        <w:outlineLvl w:val="0"/>
        <w:rPr>
          <w:rFonts w:ascii="Arial" w:hAnsi="Arial"/>
          <w:b/>
          <w:sz w:val="20"/>
          <w:szCs w:val="20"/>
        </w:rPr>
      </w:pPr>
    </w:p>
    <w:p w14:paraId="24EB18BC" w14:textId="77777777" w:rsidR="009765CC" w:rsidRDefault="009765CC" w:rsidP="002A7398">
      <w:pPr>
        <w:jc w:val="center"/>
        <w:outlineLvl w:val="0"/>
        <w:rPr>
          <w:rFonts w:ascii="Arial" w:hAnsi="Arial"/>
          <w:b/>
          <w:sz w:val="20"/>
          <w:szCs w:val="20"/>
        </w:rPr>
      </w:pPr>
    </w:p>
    <w:p w14:paraId="00FDC680" w14:textId="77777777" w:rsidR="009765CC" w:rsidRDefault="009765CC" w:rsidP="002A7398">
      <w:pPr>
        <w:jc w:val="center"/>
        <w:outlineLvl w:val="0"/>
        <w:rPr>
          <w:rFonts w:ascii="Arial" w:hAnsi="Arial"/>
          <w:b/>
          <w:sz w:val="20"/>
          <w:szCs w:val="20"/>
        </w:rPr>
      </w:pPr>
    </w:p>
    <w:p w14:paraId="0D50BEDC" w14:textId="77777777" w:rsidR="009765CC" w:rsidRDefault="009765CC" w:rsidP="002A7398">
      <w:pPr>
        <w:jc w:val="center"/>
        <w:outlineLvl w:val="0"/>
        <w:rPr>
          <w:rFonts w:ascii="Arial" w:hAnsi="Arial"/>
          <w:b/>
          <w:sz w:val="20"/>
          <w:szCs w:val="20"/>
        </w:rPr>
      </w:pPr>
    </w:p>
    <w:p w14:paraId="51505228" w14:textId="482B90A6" w:rsidR="009765CC" w:rsidRDefault="009765CC" w:rsidP="002A7398">
      <w:pPr>
        <w:tabs>
          <w:tab w:val="left" w:pos="8295"/>
        </w:tabs>
        <w:jc w:val="center"/>
        <w:rPr>
          <w:rFonts w:ascii="Arial" w:hAnsi="Arial" w:cs="Arial"/>
          <w:sz w:val="20"/>
          <w:szCs w:val="20"/>
        </w:rPr>
      </w:pPr>
    </w:p>
    <w:p w14:paraId="116CAE70" w14:textId="1C150453" w:rsidR="009765CC" w:rsidRPr="008F5797" w:rsidRDefault="008F5797" w:rsidP="002A7398">
      <w:pPr>
        <w:tabs>
          <w:tab w:val="left" w:pos="8295"/>
        </w:tabs>
        <w:jc w:val="center"/>
        <w:rPr>
          <w:rFonts w:ascii="Arial" w:hAnsi="Arial" w:cs="Arial"/>
          <w:b/>
          <w:sz w:val="36"/>
          <w:szCs w:val="36"/>
        </w:rPr>
      </w:pPr>
      <w:r w:rsidRPr="008F5797">
        <w:rPr>
          <w:rFonts w:ascii="Arial" w:hAnsi="Arial" w:cs="Arial"/>
          <w:b/>
          <w:sz w:val="36"/>
          <w:szCs w:val="36"/>
        </w:rPr>
        <w:t>MFMA SECTION 72 REPORT</w:t>
      </w:r>
      <w:r>
        <w:rPr>
          <w:rFonts w:ascii="Arial" w:hAnsi="Arial" w:cs="Arial"/>
          <w:b/>
          <w:sz w:val="36"/>
          <w:szCs w:val="36"/>
        </w:rPr>
        <w:t>/</w:t>
      </w:r>
    </w:p>
    <w:p w14:paraId="7D48D2F0" w14:textId="1C32920C" w:rsidR="009765CC" w:rsidRPr="002A7398" w:rsidRDefault="002A7398" w:rsidP="002A7398">
      <w:pPr>
        <w:jc w:val="center"/>
        <w:outlineLvl w:val="0"/>
        <w:rPr>
          <w:rFonts w:ascii="Arial" w:hAnsi="Arial"/>
          <w:b/>
          <w:sz w:val="36"/>
          <w:szCs w:val="36"/>
        </w:rPr>
      </w:pPr>
      <w:bookmarkStart w:id="19" w:name="_Toc61962821"/>
      <w:r>
        <w:rPr>
          <w:rFonts w:ascii="Arial" w:hAnsi="Arial"/>
          <w:b/>
          <w:sz w:val="36"/>
          <w:szCs w:val="36"/>
        </w:rPr>
        <w:t>MID-</w:t>
      </w:r>
      <w:r w:rsidRPr="002A7398">
        <w:rPr>
          <w:rFonts w:ascii="Arial" w:hAnsi="Arial"/>
          <w:b/>
          <w:sz w:val="36"/>
          <w:szCs w:val="36"/>
        </w:rPr>
        <w:t>YEAR/ Q2 OF 2020/21 FINANCIAL YEAR PERFORMANCE</w:t>
      </w:r>
      <w:r w:rsidR="008F5797">
        <w:rPr>
          <w:rFonts w:ascii="Arial" w:hAnsi="Arial"/>
          <w:b/>
          <w:sz w:val="36"/>
          <w:szCs w:val="36"/>
        </w:rPr>
        <w:t xml:space="preserve"> ASSESSMENT</w:t>
      </w:r>
      <w:r w:rsidRPr="002A7398">
        <w:rPr>
          <w:rFonts w:ascii="Arial" w:hAnsi="Arial"/>
          <w:b/>
          <w:sz w:val="36"/>
          <w:szCs w:val="36"/>
        </w:rPr>
        <w:t xml:space="preserve"> REPORT</w:t>
      </w:r>
      <w:bookmarkEnd w:id="19"/>
    </w:p>
    <w:p w14:paraId="06A801A0" w14:textId="77777777" w:rsidR="002A7398" w:rsidRDefault="002A7398" w:rsidP="002A7398">
      <w:pPr>
        <w:jc w:val="center"/>
        <w:outlineLvl w:val="0"/>
        <w:rPr>
          <w:rFonts w:ascii="Arial" w:hAnsi="Arial"/>
          <w:b/>
          <w:sz w:val="20"/>
          <w:szCs w:val="20"/>
        </w:rPr>
      </w:pPr>
      <w:bookmarkStart w:id="20" w:name="_Toc30172840"/>
      <w:bookmarkStart w:id="21" w:name="_Toc30173016"/>
      <w:bookmarkStart w:id="22" w:name="_Toc30173619"/>
      <w:bookmarkStart w:id="23" w:name="_Toc30173843"/>
      <w:bookmarkStart w:id="24" w:name="_Toc30173951"/>
      <w:bookmarkStart w:id="25" w:name="_Toc30174060"/>
      <w:bookmarkStart w:id="26" w:name="_Toc30174163"/>
      <w:bookmarkStart w:id="27" w:name="_Toc30174235"/>
    </w:p>
    <w:p w14:paraId="7EE43345" w14:textId="77777777" w:rsidR="002A7398" w:rsidRDefault="002A7398" w:rsidP="002A7398">
      <w:pPr>
        <w:jc w:val="center"/>
        <w:outlineLvl w:val="0"/>
        <w:rPr>
          <w:rFonts w:ascii="Arial" w:hAnsi="Arial"/>
          <w:b/>
          <w:sz w:val="20"/>
          <w:szCs w:val="20"/>
        </w:rPr>
      </w:pPr>
    </w:p>
    <w:p w14:paraId="60D7279A" w14:textId="77777777" w:rsidR="002A7398" w:rsidRDefault="002A7398" w:rsidP="002A7398">
      <w:pPr>
        <w:jc w:val="center"/>
        <w:outlineLvl w:val="0"/>
        <w:rPr>
          <w:rFonts w:ascii="Arial" w:hAnsi="Arial"/>
          <w:b/>
          <w:sz w:val="20"/>
          <w:szCs w:val="20"/>
        </w:rPr>
      </w:pPr>
    </w:p>
    <w:p w14:paraId="5B2B9C84" w14:textId="77777777" w:rsidR="002A7398" w:rsidRDefault="002A7398" w:rsidP="002A7398">
      <w:pPr>
        <w:jc w:val="center"/>
        <w:outlineLvl w:val="0"/>
        <w:rPr>
          <w:rFonts w:ascii="Arial" w:hAnsi="Arial"/>
          <w:b/>
          <w:sz w:val="20"/>
          <w:szCs w:val="20"/>
        </w:rPr>
      </w:pPr>
    </w:p>
    <w:p w14:paraId="6315C4E9" w14:textId="77777777" w:rsidR="002A7398" w:rsidRDefault="002A7398" w:rsidP="002A7398">
      <w:pPr>
        <w:jc w:val="center"/>
        <w:outlineLvl w:val="0"/>
        <w:rPr>
          <w:rFonts w:ascii="Arial" w:hAnsi="Arial"/>
          <w:b/>
          <w:sz w:val="20"/>
          <w:szCs w:val="20"/>
        </w:rPr>
      </w:pPr>
    </w:p>
    <w:p w14:paraId="4195BAB0" w14:textId="77777777" w:rsidR="002A7398" w:rsidRDefault="002A7398" w:rsidP="002A7398">
      <w:pPr>
        <w:jc w:val="center"/>
        <w:outlineLvl w:val="0"/>
        <w:rPr>
          <w:rFonts w:ascii="Arial" w:hAnsi="Arial"/>
          <w:b/>
          <w:sz w:val="20"/>
          <w:szCs w:val="20"/>
        </w:rPr>
      </w:pPr>
    </w:p>
    <w:p w14:paraId="50BD636F" w14:textId="77777777" w:rsidR="002A7398" w:rsidRDefault="002A7398" w:rsidP="002A7398">
      <w:pPr>
        <w:jc w:val="center"/>
        <w:outlineLvl w:val="0"/>
        <w:rPr>
          <w:rFonts w:ascii="Arial" w:hAnsi="Arial"/>
          <w:b/>
          <w:sz w:val="20"/>
          <w:szCs w:val="20"/>
        </w:rPr>
      </w:pPr>
    </w:p>
    <w:p w14:paraId="14F84116" w14:textId="77777777" w:rsidR="002A7398" w:rsidRDefault="002A7398" w:rsidP="002A7398">
      <w:pPr>
        <w:jc w:val="center"/>
        <w:outlineLvl w:val="0"/>
        <w:rPr>
          <w:rFonts w:ascii="Arial" w:hAnsi="Arial"/>
          <w:b/>
          <w:sz w:val="20"/>
          <w:szCs w:val="20"/>
        </w:rPr>
      </w:pPr>
    </w:p>
    <w:p w14:paraId="44E53B5D" w14:textId="77777777" w:rsidR="002A7398" w:rsidRDefault="002A7398" w:rsidP="002A7398">
      <w:pPr>
        <w:jc w:val="center"/>
        <w:outlineLvl w:val="0"/>
        <w:rPr>
          <w:rFonts w:ascii="Arial" w:hAnsi="Arial"/>
          <w:b/>
          <w:sz w:val="20"/>
          <w:szCs w:val="20"/>
        </w:rPr>
      </w:pPr>
    </w:p>
    <w:p w14:paraId="3977F914" w14:textId="264423F8" w:rsidR="002A7398" w:rsidRDefault="002A7398" w:rsidP="002A7398">
      <w:pPr>
        <w:jc w:val="center"/>
        <w:outlineLvl w:val="0"/>
        <w:rPr>
          <w:rFonts w:ascii="Arial" w:hAnsi="Arial"/>
          <w:b/>
          <w:sz w:val="20"/>
          <w:szCs w:val="20"/>
        </w:rPr>
      </w:pPr>
    </w:p>
    <w:p w14:paraId="1F24A6DB" w14:textId="51C79CEA" w:rsidR="002A7398" w:rsidRDefault="002A7398" w:rsidP="002A7398">
      <w:pPr>
        <w:jc w:val="center"/>
        <w:outlineLvl w:val="0"/>
        <w:rPr>
          <w:rFonts w:ascii="Arial" w:hAnsi="Arial"/>
          <w:b/>
          <w:sz w:val="20"/>
          <w:szCs w:val="20"/>
        </w:rPr>
      </w:pPr>
    </w:p>
    <w:p w14:paraId="71DB8DDA" w14:textId="52B07B54" w:rsidR="002A7398" w:rsidRDefault="002A7398" w:rsidP="002A7398">
      <w:pPr>
        <w:jc w:val="center"/>
        <w:outlineLvl w:val="0"/>
        <w:rPr>
          <w:rFonts w:ascii="Arial" w:hAnsi="Arial"/>
          <w:b/>
          <w:sz w:val="20"/>
          <w:szCs w:val="20"/>
        </w:rPr>
      </w:pPr>
    </w:p>
    <w:p w14:paraId="57781E74" w14:textId="36132F64" w:rsidR="002A7398" w:rsidRDefault="002A7398" w:rsidP="002A7398">
      <w:pPr>
        <w:jc w:val="center"/>
        <w:outlineLvl w:val="0"/>
        <w:rPr>
          <w:rFonts w:ascii="Arial" w:hAnsi="Arial"/>
          <w:b/>
          <w:sz w:val="20"/>
          <w:szCs w:val="20"/>
        </w:rPr>
      </w:pPr>
    </w:p>
    <w:p w14:paraId="190DEB45" w14:textId="4D80132A" w:rsidR="002A7398" w:rsidRDefault="002A7398" w:rsidP="002A7398">
      <w:pPr>
        <w:jc w:val="center"/>
        <w:outlineLvl w:val="0"/>
        <w:rPr>
          <w:rFonts w:ascii="Arial" w:hAnsi="Arial"/>
          <w:b/>
          <w:sz w:val="20"/>
          <w:szCs w:val="20"/>
        </w:rPr>
      </w:pPr>
    </w:p>
    <w:p w14:paraId="456C0C8C" w14:textId="34C78049" w:rsidR="002A7398" w:rsidRDefault="002A7398" w:rsidP="002A7398">
      <w:pPr>
        <w:jc w:val="center"/>
        <w:outlineLvl w:val="0"/>
        <w:rPr>
          <w:rFonts w:ascii="Arial" w:hAnsi="Arial"/>
          <w:b/>
          <w:sz w:val="20"/>
          <w:szCs w:val="20"/>
        </w:rPr>
      </w:pPr>
    </w:p>
    <w:p w14:paraId="702C7D19" w14:textId="7FB2A208" w:rsidR="009765CC" w:rsidRDefault="009765CC" w:rsidP="009765CC">
      <w:pPr>
        <w:jc w:val="center"/>
        <w:outlineLvl w:val="0"/>
        <w:rPr>
          <w:rFonts w:ascii="Arial" w:hAnsi="Arial"/>
          <w:b/>
          <w:sz w:val="20"/>
          <w:szCs w:val="20"/>
        </w:rPr>
      </w:pPr>
      <w:bookmarkStart w:id="28" w:name="_Toc61962822"/>
      <w:r>
        <w:rPr>
          <w:rFonts w:ascii="Arial" w:hAnsi="Arial"/>
          <w:b/>
          <w:sz w:val="20"/>
          <w:szCs w:val="20"/>
        </w:rPr>
        <w:lastRenderedPageBreak/>
        <w:t>Table of contents</w:t>
      </w:r>
      <w:bookmarkEnd w:id="20"/>
      <w:bookmarkEnd w:id="21"/>
      <w:bookmarkEnd w:id="22"/>
      <w:bookmarkEnd w:id="23"/>
      <w:bookmarkEnd w:id="24"/>
      <w:bookmarkEnd w:id="25"/>
      <w:bookmarkEnd w:id="26"/>
      <w:bookmarkEnd w:id="27"/>
      <w:bookmarkEnd w:id="28"/>
    </w:p>
    <w:p w14:paraId="4B5B674D" w14:textId="0C96D0EA" w:rsidR="009765CC" w:rsidRDefault="009765CC" w:rsidP="006A6A16">
      <w:pPr>
        <w:jc w:val="right"/>
        <w:outlineLvl w:val="0"/>
        <w:rPr>
          <w:rFonts w:ascii="Arial" w:hAnsi="Arial"/>
          <w:b/>
          <w:sz w:val="20"/>
          <w:szCs w:val="20"/>
        </w:rPr>
      </w:pPr>
    </w:p>
    <w:p w14:paraId="50F06F01" w14:textId="2B12B4C4" w:rsidR="00CC2032" w:rsidRPr="005B3AB4" w:rsidRDefault="006A6A16" w:rsidP="009765CC">
      <w:pPr>
        <w:outlineLvl w:val="0"/>
        <w:rPr>
          <w:rFonts w:ascii="Arial" w:hAnsi="Arial"/>
          <w:b/>
          <w:bCs/>
          <w:sz w:val="22"/>
          <w:szCs w:val="22"/>
        </w:rPr>
      </w:pPr>
      <w:bookmarkStart w:id="29" w:name="_Toc30172841"/>
      <w:bookmarkStart w:id="30" w:name="_Toc30173017"/>
      <w:bookmarkStart w:id="31" w:name="_Toc30173620"/>
      <w:bookmarkStart w:id="32" w:name="_Toc30173844"/>
      <w:bookmarkStart w:id="33" w:name="_Toc30173952"/>
      <w:bookmarkStart w:id="34" w:name="_Toc30174061"/>
      <w:bookmarkStart w:id="35" w:name="_Toc30174164"/>
      <w:bookmarkStart w:id="36" w:name="_Toc30174236"/>
      <w:bookmarkStart w:id="37" w:name="_Toc61962823"/>
      <w:r w:rsidRPr="005B3AB4">
        <w:rPr>
          <w:rFonts w:ascii="Arial" w:hAnsi="Arial"/>
          <w:b/>
          <w:bCs/>
          <w:sz w:val="22"/>
          <w:szCs w:val="22"/>
        </w:rPr>
        <w:t>Contents</w:t>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t>Page No</w:t>
      </w:r>
      <w:bookmarkEnd w:id="29"/>
      <w:bookmarkEnd w:id="30"/>
      <w:bookmarkEnd w:id="31"/>
      <w:bookmarkEnd w:id="32"/>
      <w:bookmarkEnd w:id="33"/>
      <w:bookmarkEnd w:id="34"/>
      <w:bookmarkEnd w:id="35"/>
      <w:bookmarkEnd w:id="36"/>
      <w:bookmarkEnd w:id="37"/>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r w:rsidR="009765CC" w:rsidRPr="005B3AB4">
        <w:rPr>
          <w:rFonts w:ascii="Arial" w:hAnsi="Arial"/>
          <w:b/>
          <w:bCs/>
          <w:sz w:val="22"/>
          <w:szCs w:val="22"/>
        </w:rPr>
        <w:tab/>
      </w:r>
    </w:p>
    <w:sdt>
      <w:sdtPr>
        <w:rPr>
          <w:rFonts w:ascii="Calibri" w:eastAsia="Times New Roman" w:hAnsi="Calibri" w:cs="Times New Roman"/>
          <w:color w:val="auto"/>
          <w:sz w:val="21"/>
          <w:szCs w:val="21"/>
          <w:lang w:val="en-ZA" w:eastAsia="en-ZA"/>
        </w:rPr>
        <w:id w:val="-815290"/>
        <w:docPartObj>
          <w:docPartGallery w:val="Table of Contents"/>
          <w:docPartUnique/>
        </w:docPartObj>
      </w:sdtPr>
      <w:sdtEndPr>
        <w:rPr>
          <w:b/>
          <w:bCs/>
          <w:noProof/>
        </w:rPr>
      </w:sdtEndPr>
      <w:sdtContent>
        <w:p w14:paraId="072BB6E2" w14:textId="0DC1A650" w:rsidR="0095784A" w:rsidRPr="00307538" w:rsidRDefault="0095784A">
          <w:pPr>
            <w:pStyle w:val="TOCHeading"/>
            <w:rPr>
              <w:rFonts w:ascii="Arial" w:hAnsi="Arial" w:cs="Arial"/>
              <w:sz w:val="22"/>
              <w:szCs w:val="22"/>
            </w:rPr>
          </w:pPr>
        </w:p>
        <w:p w14:paraId="2E3B9918" w14:textId="5C7FA796" w:rsidR="00307538" w:rsidRPr="00307538" w:rsidRDefault="0095784A" w:rsidP="00307538">
          <w:pPr>
            <w:pStyle w:val="TOC1"/>
            <w:tabs>
              <w:tab w:val="right" w:leader="dot" w:pos="9016"/>
            </w:tabs>
            <w:rPr>
              <w:rFonts w:ascii="Arial" w:eastAsiaTheme="minorEastAsia" w:hAnsi="Arial" w:cs="Arial"/>
              <w:noProof/>
              <w:sz w:val="22"/>
              <w:szCs w:val="22"/>
              <w:lang w:val="en-US" w:eastAsia="en-US"/>
            </w:rPr>
          </w:pPr>
          <w:r w:rsidRPr="00307538">
            <w:rPr>
              <w:rFonts w:ascii="Arial" w:hAnsi="Arial" w:cs="Arial"/>
              <w:sz w:val="22"/>
              <w:szCs w:val="22"/>
            </w:rPr>
            <w:fldChar w:fldCharType="begin"/>
          </w:r>
          <w:r w:rsidRPr="00307538">
            <w:rPr>
              <w:rFonts w:ascii="Arial" w:hAnsi="Arial" w:cs="Arial"/>
              <w:sz w:val="22"/>
              <w:szCs w:val="22"/>
            </w:rPr>
            <w:instrText xml:space="preserve"> TOC \o "1-3" \h \z \u </w:instrText>
          </w:r>
          <w:r w:rsidRPr="00307538">
            <w:rPr>
              <w:rFonts w:ascii="Arial" w:hAnsi="Arial" w:cs="Arial"/>
              <w:sz w:val="22"/>
              <w:szCs w:val="22"/>
            </w:rPr>
            <w:fldChar w:fldCharType="separate"/>
          </w:r>
          <w:hyperlink w:anchor="_Toc61962819" w:history="1">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_Toc61962819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w:t>
            </w:r>
            <w:r w:rsidR="00307538" w:rsidRPr="00307538">
              <w:rPr>
                <w:rFonts w:ascii="Arial" w:hAnsi="Arial" w:cs="Arial"/>
                <w:noProof/>
                <w:webHidden/>
                <w:sz w:val="22"/>
                <w:szCs w:val="22"/>
              </w:rPr>
              <w:fldChar w:fldCharType="end"/>
            </w:r>
          </w:hyperlink>
        </w:p>
        <w:p w14:paraId="23AD4928" w14:textId="31C039F1" w:rsidR="00307538" w:rsidRPr="00307538" w:rsidRDefault="00191DD6">
          <w:pPr>
            <w:pStyle w:val="TOC1"/>
            <w:tabs>
              <w:tab w:val="left" w:pos="440"/>
              <w:tab w:val="right" w:leader="dot" w:pos="9016"/>
            </w:tabs>
            <w:rPr>
              <w:rFonts w:ascii="Arial" w:eastAsiaTheme="minorEastAsia" w:hAnsi="Arial" w:cs="Arial"/>
              <w:noProof/>
              <w:sz w:val="22"/>
              <w:szCs w:val="22"/>
              <w:lang w:val="en-US" w:eastAsia="en-US"/>
            </w:rPr>
          </w:pPr>
          <w:hyperlink w:anchor="_Toc61962824" w:history="1">
            <w:r w:rsidR="00307538" w:rsidRPr="00307538">
              <w:rPr>
                <w:rStyle w:val="Hyperlink"/>
                <w:rFonts w:ascii="Arial" w:hAnsi="Arial" w:cs="Arial"/>
                <w:b/>
                <w:noProof/>
                <w:sz w:val="22"/>
                <w:szCs w:val="22"/>
              </w:rPr>
              <w:t>1.</w:t>
            </w:r>
            <w:r w:rsidR="00307538" w:rsidRPr="00307538">
              <w:rPr>
                <w:rFonts w:ascii="Arial" w:eastAsiaTheme="minorEastAsia" w:hAnsi="Arial" w:cs="Arial"/>
                <w:noProof/>
                <w:sz w:val="22"/>
                <w:szCs w:val="22"/>
                <w:lang w:val="en-US" w:eastAsia="en-US"/>
              </w:rPr>
              <w:tab/>
            </w:r>
            <w:r w:rsidR="00307538" w:rsidRPr="00307538">
              <w:rPr>
                <w:rStyle w:val="Hyperlink"/>
                <w:rFonts w:ascii="Arial" w:hAnsi="Arial" w:cs="Arial"/>
                <w:b/>
                <w:noProof/>
                <w:sz w:val="22"/>
                <w:szCs w:val="22"/>
              </w:rPr>
              <w:t>INTRODUCTION</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_Toc61962824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3</w:t>
            </w:r>
            <w:r w:rsidR="00307538" w:rsidRPr="00307538">
              <w:rPr>
                <w:rFonts w:ascii="Arial" w:hAnsi="Arial" w:cs="Arial"/>
                <w:noProof/>
                <w:webHidden/>
                <w:sz w:val="22"/>
                <w:szCs w:val="22"/>
              </w:rPr>
              <w:fldChar w:fldCharType="end"/>
            </w:r>
          </w:hyperlink>
        </w:p>
        <w:p w14:paraId="3B8BD983" w14:textId="40665773" w:rsidR="00307538" w:rsidRPr="00307538" w:rsidRDefault="00191DD6">
          <w:pPr>
            <w:pStyle w:val="TOC1"/>
            <w:tabs>
              <w:tab w:val="left" w:pos="440"/>
              <w:tab w:val="right" w:leader="dot" w:pos="9016"/>
            </w:tabs>
            <w:rPr>
              <w:rFonts w:ascii="Arial" w:eastAsiaTheme="minorEastAsia" w:hAnsi="Arial" w:cs="Arial"/>
              <w:noProof/>
              <w:sz w:val="22"/>
              <w:szCs w:val="22"/>
              <w:lang w:val="en-US" w:eastAsia="en-US"/>
            </w:rPr>
          </w:pPr>
          <w:hyperlink w:anchor="_Toc61962831" w:history="1">
            <w:r w:rsidR="00307538" w:rsidRPr="00307538">
              <w:rPr>
                <w:rStyle w:val="Hyperlink"/>
                <w:rFonts w:ascii="Arial" w:hAnsi="Arial" w:cs="Arial"/>
                <w:b/>
                <w:noProof/>
                <w:sz w:val="22"/>
                <w:szCs w:val="22"/>
              </w:rPr>
              <w:t>2.</w:t>
            </w:r>
            <w:r w:rsidR="00307538" w:rsidRPr="00307538">
              <w:rPr>
                <w:rFonts w:ascii="Arial" w:eastAsiaTheme="minorEastAsia" w:hAnsi="Arial" w:cs="Arial"/>
                <w:noProof/>
                <w:sz w:val="22"/>
                <w:szCs w:val="22"/>
                <w:lang w:val="en-US" w:eastAsia="en-US"/>
              </w:rPr>
              <w:tab/>
            </w:r>
            <w:r w:rsidR="00307538" w:rsidRPr="00307538">
              <w:rPr>
                <w:rStyle w:val="Hyperlink"/>
                <w:rFonts w:ascii="Arial" w:hAnsi="Arial" w:cs="Arial"/>
                <w:b/>
                <w:noProof/>
                <w:sz w:val="22"/>
                <w:szCs w:val="22"/>
              </w:rPr>
              <w:t>OFFICE OF THE MUNICIPAL MANAGER</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_Toc61962831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3</w:t>
            </w:r>
            <w:r w:rsidR="00307538" w:rsidRPr="00307538">
              <w:rPr>
                <w:rFonts w:ascii="Arial" w:hAnsi="Arial" w:cs="Arial"/>
                <w:noProof/>
                <w:webHidden/>
                <w:sz w:val="22"/>
                <w:szCs w:val="22"/>
              </w:rPr>
              <w:fldChar w:fldCharType="end"/>
            </w:r>
          </w:hyperlink>
        </w:p>
        <w:p w14:paraId="542BA554" w14:textId="74B12476" w:rsidR="00307538" w:rsidRPr="00307538" w:rsidRDefault="00191DD6">
          <w:pPr>
            <w:pStyle w:val="TOC1"/>
            <w:tabs>
              <w:tab w:val="left" w:pos="440"/>
              <w:tab w:val="right" w:leader="dot" w:pos="9016"/>
            </w:tabs>
            <w:rPr>
              <w:rFonts w:ascii="Arial" w:eastAsiaTheme="minorEastAsia" w:hAnsi="Arial" w:cs="Arial"/>
              <w:noProof/>
              <w:sz w:val="22"/>
              <w:szCs w:val="22"/>
              <w:lang w:val="en-US" w:eastAsia="en-US"/>
            </w:rPr>
          </w:pPr>
          <w:hyperlink w:anchor="_Toc61962843" w:history="1">
            <w:r w:rsidR="00307538" w:rsidRPr="00307538">
              <w:rPr>
                <w:rStyle w:val="Hyperlink"/>
                <w:rFonts w:ascii="Arial" w:hAnsi="Arial" w:cs="Arial"/>
                <w:b/>
                <w:bCs/>
                <w:noProof/>
                <w:sz w:val="22"/>
                <w:szCs w:val="22"/>
              </w:rPr>
              <w:t>3.</w:t>
            </w:r>
            <w:r w:rsidR="00307538" w:rsidRPr="00307538">
              <w:rPr>
                <w:rFonts w:ascii="Arial" w:eastAsiaTheme="minorEastAsia" w:hAnsi="Arial" w:cs="Arial"/>
                <w:noProof/>
                <w:sz w:val="22"/>
                <w:szCs w:val="22"/>
                <w:lang w:val="en-US" w:eastAsia="en-US"/>
              </w:rPr>
              <w:tab/>
            </w:r>
            <w:r w:rsidR="00307538" w:rsidRPr="00307538">
              <w:rPr>
                <w:rStyle w:val="Hyperlink"/>
                <w:rFonts w:ascii="Arial" w:hAnsi="Arial" w:cs="Arial"/>
                <w:b/>
                <w:bCs/>
                <w:noProof/>
                <w:sz w:val="22"/>
                <w:szCs w:val="22"/>
              </w:rPr>
              <w:t>COMMUNITY&amp; SOCIAL SERVICES DEPARTMENT</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_Toc61962843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7</w:t>
            </w:r>
            <w:r w:rsidR="00307538" w:rsidRPr="00307538">
              <w:rPr>
                <w:rFonts w:ascii="Arial" w:hAnsi="Arial" w:cs="Arial"/>
                <w:noProof/>
                <w:webHidden/>
                <w:sz w:val="22"/>
                <w:szCs w:val="22"/>
              </w:rPr>
              <w:fldChar w:fldCharType="end"/>
            </w:r>
          </w:hyperlink>
        </w:p>
        <w:p w14:paraId="28326203" w14:textId="46E0CF63" w:rsidR="00307538" w:rsidRPr="00307538" w:rsidRDefault="00191DD6">
          <w:pPr>
            <w:pStyle w:val="TOC1"/>
            <w:tabs>
              <w:tab w:val="left" w:pos="440"/>
              <w:tab w:val="right" w:leader="dot" w:pos="9016"/>
            </w:tabs>
            <w:rPr>
              <w:rFonts w:ascii="Arial" w:eastAsiaTheme="minorEastAsia" w:hAnsi="Arial" w:cs="Arial"/>
              <w:noProof/>
              <w:sz w:val="22"/>
              <w:szCs w:val="22"/>
              <w:lang w:val="en-US" w:eastAsia="en-US"/>
            </w:rPr>
          </w:pPr>
          <w:hyperlink w:anchor="_Toc61962845" w:history="1">
            <w:r w:rsidR="00307538" w:rsidRPr="00307538">
              <w:rPr>
                <w:rStyle w:val="Hyperlink"/>
                <w:rFonts w:ascii="Arial" w:hAnsi="Arial" w:cs="Arial"/>
                <w:b/>
                <w:bCs/>
                <w:noProof/>
                <w:sz w:val="22"/>
                <w:szCs w:val="22"/>
              </w:rPr>
              <w:t>4.</w:t>
            </w:r>
            <w:r w:rsidR="00307538" w:rsidRPr="00307538">
              <w:rPr>
                <w:rFonts w:ascii="Arial" w:eastAsiaTheme="minorEastAsia" w:hAnsi="Arial" w:cs="Arial"/>
                <w:noProof/>
                <w:sz w:val="22"/>
                <w:szCs w:val="22"/>
                <w:lang w:val="en-US" w:eastAsia="en-US"/>
              </w:rPr>
              <w:tab/>
            </w:r>
            <w:r w:rsidR="00307538" w:rsidRPr="00307538">
              <w:rPr>
                <w:rStyle w:val="Hyperlink"/>
                <w:rFonts w:ascii="Arial" w:hAnsi="Arial" w:cs="Arial"/>
                <w:b/>
                <w:bCs/>
                <w:noProof/>
                <w:sz w:val="22"/>
                <w:szCs w:val="22"/>
              </w:rPr>
              <w:t>CORPORATE SUPPORT SERVICES DEPARTMENT</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_Toc61962845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10</w:t>
            </w:r>
            <w:r w:rsidR="00307538" w:rsidRPr="00307538">
              <w:rPr>
                <w:rFonts w:ascii="Arial" w:hAnsi="Arial" w:cs="Arial"/>
                <w:noProof/>
                <w:webHidden/>
                <w:sz w:val="22"/>
                <w:szCs w:val="22"/>
              </w:rPr>
              <w:fldChar w:fldCharType="end"/>
            </w:r>
          </w:hyperlink>
        </w:p>
        <w:p w14:paraId="4478D533" w14:textId="22305780" w:rsidR="00307538" w:rsidRPr="00307538" w:rsidRDefault="00191DD6">
          <w:pPr>
            <w:pStyle w:val="TOC1"/>
            <w:tabs>
              <w:tab w:val="right" w:leader="dot" w:pos="9016"/>
            </w:tabs>
            <w:rPr>
              <w:rFonts w:ascii="Arial" w:eastAsiaTheme="minorEastAsia" w:hAnsi="Arial" w:cs="Arial"/>
              <w:noProof/>
              <w:sz w:val="22"/>
              <w:szCs w:val="22"/>
              <w:lang w:val="en-US" w:eastAsia="en-US"/>
            </w:rPr>
          </w:pPr>
          <w:hyperlink w:anchor="_Toc61962847" w:history="1">
            <w:r w:rsidR="00307538" w:rsidRPr="00307538">
              <w:rPr>
                <w:rStyle w:val="Hyperlink"/>
                <w:rFonts w:ascii="Arial" w:hAnsi="Arial" w:cs="Arial"/>
                <w:b/>
                <w:bCs/>
                <w:noProof/>
                <w:sz w:val="22"/>
                <w:szCs w:val="22"/>
              </w:rPr>
              <w:t>6. PUBLIC WORKS AND BASIC SERVICES DEPARTMENT</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_Toc61962847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12</w:t>
            </w:r>
            <w:r w:rsidR="00307538" w:rsidRPr="00307538">
              <w:rPr>
                <w:rFonts w:ascii="Arial" w:hAnsi="Arial" w:cs="Arial"/>
                <w:noProof/>
                <w:webHidden/>
                <w:sz w:val="22"/>
                <w:szCs w:val="22"/>
              </w:rPr>
              <w:fldChar w:fldCharType="end"/>
            </w:r>
          </w:hyperlink>
        </w:p>
        <w:p w14:paraId="6A97D626" w14:textId="237EA76F" w:rsidR="00307538" w:rsidRPr="00307538" w:rsidRDefault="00191DD6">
          <w:pPr>
            <w:pStyle w:val="TOC1"/>
            <w:tabs>
              <w:tab w:val="left" w:pos="440"/>
              <w:tab w:val="right" w:leader="dot" w:pos="9016"/>
            </w:tabs>
            <w:rPr>
              <w:rFonts w:ascii="Arial" w:eastAsiaTheme="minorEastAsia" w:hAnsi="Arial" w:cs="Arial"/>
              <w:noProof/>
              <w:sz w:val="22"/>
              <w:szCs w:val="22"/>
              <w:lang w:val="en-US" w:eastAsia="en-US"/>
            </w:rPr>
          </w:pPr>
          <w:hyperlink w:anchor="_Toc61962848" w:history="1">
            <w:r w:rsidR="00307538" w:rsidRPr="00307538">
              <w:rPr>
                <w:rStyle w:val="Hyperlink"/>
                <w:rFonts w:ascii="Arial" w:hAnsi="Arial" w:cs="Arial"/>
                <w:b/>
                <w:bCs/>
                <w:noProof/>
                <w:sz w:val="22"/>
                <w:szCs w:val="22"/>
              </w:rPr>
              <w:t>5.</w:t>
            </w:r>
            <w:r w:rsidR="00307538" w:rsidRPr="00307538">
              <w:rPr>
                <w:rFonts w:ascii="Arial" w:eastAsiaTheme="minorEastAsia" w:hAnsi="Arial" w:cs="Arial"/>
                <w:noProof/>
                <w:sz w:val="22"/>
                <w:szCs w:val="22"/>
                <w:lang w:val="en-US" w:eastAsia="en-US"/>
              </w:rPr>
              <w:tab/>
            </w:r>
            <w:r w:rsidR="00307538" w:rsidRPr="00307538">
              <w:rPr>
                <w:rStyle w:val="Hyperlink"/>
                <w:rFonts w:ascii="Arial" w:hAnsi="Arial" w:cs="Arial"/>
                <w:b/>
                <w:bCs/>
                <w:noProof/>
                <w:sz w:val="22"/>
                <w:szCs w:val="22"/>
              </w:rPr>
              <w:t>BUDGET AND TREASURY OFFICE</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_Toc61962848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14</w:t>
            </w:r>
            <w:r w:rsidR="00307538" w:rsidRPr="00307538">
              <w:rPr>
                <w:rFonts w:ascii="Arial" w:hAnsi="Arial" w:cs="Arial"/>
                <w:noProof/>
                <w:webHidden/>
                <w:sz w:val="22"/>
                <w:szCs w:val="22"/>
              </w:rPr>
              <w:fldChar w:fldCharType="end"/>
            </w:r>
          </w:hyperlink>
        </w:p>
        <w:p w14:paraId="5DFF5ABA" w14:textId="48F9A0F6" w:rsidR="00307538" w:rsidRPr="00307538" w:rsidRDefault="00191DD6">
          <w:pPr>
            <w:pStyle w:val="TOC1"/>
            <w:tabs>
              <w:tab w:val="right" w:leader="dot" w:pos="9016"/>
            </w:tabs>
            <w:rPr>
              <w:rFonts w:ascii="Arial" w:eastAsiaTheme="minorEastAsia" w:hAnsi="Arial" w:cs="Arial"/>
              <w:noProof/>
              <w:sz w:val="22"/>
              <w:szCs w:val="22"/>
              <w:lang w:val="en-US" w:eastAsia="en-US"/>
            </w:rPr>
          </w:pPr>
          <w:hyperlink w:anchor="_Toc61962849" w:history="1">
            <w:r w:rsidR="00307538" w:rsidRPr="00307538">
              <w:rPr>
                <w:rStyle w:val="Hyperlink"/>
                <w:rFonts w:ascii="Arial" w:hAnsi="Arial" w:cs="Arial"/>
                <w:b/>
                <w:bCs/>
                <w:noProof/>
                <w:sz w:val="22"/>
                <w:szCs w:val="22"/>
              </w:rPr>
              <w:t>OVERALL/ORGANISATIONAL PERFORMANCE AT MID-YEAR/ QUARTER 2 OF 2020/21 FINANCIAL YEAR</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_Toc61962849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15</w:t>
            </w:r>
            <w:r w:rsidR="00307538" w:rsidRPr="00307538">
              <w:rPr>
                <w:rFonts w:ascii="Arial" w:hAnsi="Arial" w:cs="Arial"/>
                <w:noProof/>
                <w:webHidden/>
                <w:sz w:val="22"/>
                <w:szCs w:val="22"/>
              </w:rPr>
              <w:fldChar w:fldCharType="end"/>
            </w:r>
          </w:hyperlink>
        </w:p>
        <w:p w14:paraId="28487321" w14:textId="5680A600" w:rsidR="00307538" w:rsidRPr="00307538" w:rsidRDefault="00191DD6">
          <w:pPr>
            <w:pStyle w:val="TOC1"/>
            <w:tabs>
              <w:tab w:val="right" w:leader="dot" w:pos="9016"/>
            </w:tabs>
            <w:rPr>
              <w:rFonts w:ascii="Arial" w:eastAsiaTheme="minorEastAsia" w:hAnsi="Arial" w:cs="Arial"/>
              <w:noProof/>
              <w:sz w:val="22"/>
              <w:szCs w:val="22"/>
              <w:lang w:val="en-US" w:eastAsia="en-US"/>
            </w:rPr>
          </w:pPr>
          <w:hyperlink w:anchor="_Toc61962850" w:history="1">
            <w:r w:rsidR="00307538" w:rsidRPr="00307538">
              <w:rPr>
                <w:rStyle w:val="Hyperlink"/>
                <w:rFonts w:ascii="Arial" w:hAnsi="Arial" w:cs="Arial"/>
                <w:b/>
                <w:bCs/>
                <w:noProof/>
                <w:sz w:val="22"/>
                <w:szCs w:val="22"/>
              </w:rPr>
              <w:t>8. SUMMARY AND CHALLENGES</w:t>
            </w:r>
            <w:r w:rsidR="00307538" w:rsidRPr="00307538">
              <w:rPr>
                <w:rFonts w:ascii="Arial" w:hAnsi="Arial" w:cs="Arial"/>
                <w:noProof/>
                <w:webHidden/>
                <w:sz w:val="22"/>
                <w:szCs w:val="22"/>
              </w:rPr>
              <w:tab/>
            </w:r>
            <w:r w:rsidR="00307538" w:rsidRPr="00307538">
              <w:rPr>
                <w:rFonts w:ascii="Arial" w:hAnsi="Arial" w:cs="Arial"/>
                <w:noProof/>
                <w:webHidden/>
                <w:sz w:val="22"/>
                <w:szCs w:val="22"/>
              </w:rPr>
              <w:fldChar w:fldCharType="begin"/>
            </w:r>
            <w:r w:rsidR="00307538" w:rsidRPr="00307538">
              <w:rPr>
                <w:rFonts w:ascii="Arial" w:hAnsi="Arial" w:cs="Arial"/>
                <w:noProof/>
                <w:webHidden/>
                <w:sz w:val="22"/>
                <w:szCs w:val="22"/>
              </w:rPr>
              <w:instrText xml:space="preserve"> PAGEREF _Toc61962850 \h </w:instrText>
            </w:r>
            <w:r w:rsidR="00307538" w:rsidRPr="00307538">
              <w:rPr>
                <w:rFonts w:ascii="Arial" w:hAnsi="Arial" w:cs="Arial"/>
                <w:noProof/>
                <w:webHidden/>
                <w:sz w:val="22"/>
                <w:szCs w:val="22"/>
              </w:rPr>
            </w:r>
            <w:r w:rsidR="00307538" w:rsidRPr="00307538">
              <w:rPr>
                <w:rFonts w:ascii="Arial" w:hAnsi="Arial" w:cs="Arial"/>
                <w:noProof/>
                <w:webHidden/>
                <w:sz w:val="22"/>
                <w:szCs w:val="22"/>
              </w:rPr>
              <w:fldChar w:fldCharType="separate"/>
            </w:r>
            <w:r w:rsidR="005B3AB4">
              <w:rPr>
                <w:rFonts w:ascii="Arial" w:hAnsi="Arial" w:cs="Arial"/>
                <w:noProof/>
                <w:webHidden/>
                <w:sz w:val="22"/>
                <w:szCs w:val="22"/>
              </w:rPr>
              <w:t>19</w:t>
            </w:r>
            <w:r w:rsidR="00307538" w:rsidRPr="00307538">
              <w:rPr>
                <w:rFonts w:ascii="Arial" w:hAnsi="Arial" w:cs="Arial"/>
                <w:noProof/>
                <w:webHidden/>
                <w:sz w:val="22"/>
                <w:szCs w:val="22"/>
              </w:rPr>
              <w:fldChar w:fldCharType="end"/>
            </w:r>
          </w:hyperlink>
        </w:p>
        <w:p w14:paraId="3313AE14" w14:textId="4C0D0F8B" w:rsidR="0095784A" w:rsidRDefault="0095784A">
          <w:r w:rsidRPr="00307538">
            <w:rPr>
              <w:rFonts w:ascii="Arial" w:hAnsi="Arial" w:cs="Arial"/>
              <w:b/>
              <w:bCs/>
              <w:noProof/>
              <w:sz w:val="22"/>
              <w:szCs w:val="22"/>
            </w:rPr>
            <w:fldChar w:fldCharType="end"/>
          </w:r>
        </w:p>
      </w:sdtContent>
    </w:sdt>
    <w:p w14:paraId="10D94F9E" w14:textId="54796A50" w:rsidR="009765CC" w:rsidRPr="00390160" w:rsidRDefault="009765CC" w:rsidP="009765CC">
      <w:pPr>
        <w:outlineLvl w:val="0"/>
        <w:rPr>
          <w:rFonts w:ascii="Arial" w:hAnsi="Arial"/>
          <w:bCs/>
          <w:sz w:val="20"/>
          <w:szCs w:val="20"/>
        </w:rPr>
      </w:pPr>
      <w:r w:rsidRPr="00390160">
        <w:rPr>
          <w:rFonts w:ascii="Arial" w:hAnsi="Arial"/>
          <w:bCs/>
          <w:sz w:val="20"/>
          <w:szCs w:val="20"/>
        </w:rPr>
        <w:tab/>
      </w:r>
      <w:r w:rsidRPr="00390160">
        <w:rPr>
          <w:rFonts w:ascii="Arial" w:hAnsi="Arial"/>
          <w:bCs/>
          <w:sz w:val="20"/>
          <w:szCs w:val="20"/>
        </w:rPr>
        <w:tab/>
      </w:r>
      <w:r w:rsidRPr="00390160">
        <w:rPr>
          <w:rFonts w:ascii="Arial" w:hAnsi="Arial"/>
          <w:bCs/>
          <w:sz w:val="20"/>
          <w:szCs w:val="20"/>
        </w:rPr>
        <w:tab/>
      </w:r>
      <w:r w:rsidRPr="00390160">
        <w:rPr>
          <w:rFonts w:ascii="Arial" w:hAnsi="Arial"/>
          <w:bCs/>
          <w:sz w:val="20"/>
          <w:szCs w:val="20"/>
        </w:rPr>
        <w:tab/>
      </w:r>
    </w:p>
    <w:p w14:paraId="1A3A1038" w14:textId="77777777" w:rsidR="009765CC" w:rsidRDefault="009765CC" w:rsidP="00034798">
      <w:pPr>
        <w:outlineLvl w:val="0"/>
        <w:rPr>
          <w:rFonts w:ascii="Arial" w:hAnsi="Arial"/>
          <w:b/>
          <w:sz w:val="20"/>
          <w:szCs w:val="20"/>
        </w:rPr>
      </w:pPr>
    </w:p>
    <w:p w14:paraId="794CED75" w14:textId="77777777" w:rsidR="009765CC" w:rsidRDefault="009765CC" w:rsidP="00034798">
      <w:pPr>
        <w:outlineLvl w:val="0"/>
        <w:rPr>
          <w:rFonts w:ascii="Arial" w:hAnsi="Arial"/>
          <w:b/>
          <w:sz w:val="20"/>
          <w:szCs w:val="20"/>
        </w:rPr>
      </w:pPr>
    </w:p>
    <w:p w14:paraId="5769FE89" w14:textId="77777777" w:rsidR="009765CC" w:rsidRDefault="009765CC" w:rsidP="00034798">
      <w:pPr>
        <w:outlineLvl w:val="0"/>
        <w:rPr>
          <w:rFonts w:ascii="Arial" w:hAnsi="Arial"/>
          <w:b/>
          <w:sz w:val="20"/>
          <w:szCs w:val="20"/>
        </w:rPr>
      </w:pPr>
    </w:p>
    <w:p w14:paraId="523A5CE2" w14:textId="77777777" w:rsidR="009765CC" w:rsidRDefault="009765CC" w:rsidP="00034798">
      <w:pPr>
        <w:outlineLvl w:val="0"/>
        <w:rPr>
          <w:rFonts w:ascii="Arial" w:hAnsi="Arial"/>
          <w:b/>
          <w:sz w:val="20"/>
          <w:szCs w:val="20"/>
        </w:rPr>
      </w:pPr>
    </w:p>
    <w:p w14:paraId="3437048B" w14:textId="77777777" w:rsidR="009765CC" w:rsidRDefault="009765CC" w:rsidP="00034798">
      <w:pPr>
        <w:outlineLvl w:val="0"/>
        <w:rPr>
          <w:rFonts w:ascii="Arial" w:hAnsi="Arial"/>
          <w:b/>
          <w:sz w:val="20"/>
          <w:szCs w:val="20"/>
        </w:rPr>
      </w:pPr>
    </w:p>
    <w:p w14:paraId="0CF749F2" w14:textId="77777777" w:rsidR="009765CC" w:rsidRDefault="009765CC" w:rsidP="00034798">
      <w:pPr>
        <w:outlineLvl w:val="0"/>
        <w:rPr>
          <w:rFonts w:ascii="Arial" w:hAnsi="Arial"/>
          <w:b/>
          <w:sz w:val="20"/>
          <w:szCs w:val="20"/>
        </w:rPr>
      </w:pPr>
    </w:p>
    <w:p w14:paraId="79239CE6" w14:textId="77777777" w:rsidR="009765CC" w:rsidRDefault="009765CC" w:rsidP="00034798">
      <w:pPr>
        <w:outlineLvl w:val="0"/>
        <w:rPr>
          <w:rFonts w:ascii="Arial" w:hAnsi="Arial"/>
          <w:b/>
          <w:sz w:val="20"/>
          <w:szCs w:val="20"/>
        </w:rPr>
      </w:pPr>
    </w:p>
    <w:p w14:paraId="51284753" w14:textId="77777777" w:rsidR="009765CC" w:rsidRDefault="009765CC" w:rsidP="00034798">
      <w:pPr>
        <w:outlineLvl w:val="0"/>
        <w:rPr>
          <w:rFonts w:ascii="Arial" w:hAnsi="Arial"/>
          <w:b/>
          <w:sz w:val="20"/>
          <w:szCs w:val="20"/>
        </w:rPr>
      </w:pPr>
    </w:p>
    <w:p w14:paraId="243A2F51" w14:textId="77777777" w:rsidR="009765CC" w:rsidRDefault="009765CC" w:rsidP="00034798">
      <w:pPr>
        <w:outlineLvl w:val="0"/>
        <w:rPr>
          <w:rFonts w:ascii="Arial" w:hAnsi="Arial"/>
          <w:b/>
          <w:sz w:val="20"/>
          <w:szCs w:val="20"/>
        </w:rPr>
      </w:pPr>
    </w:p>
    <w:p w14:paraId="1B71E80C" w14:textId="3F8BAE0D" w:rsidR="009765CC" w:rsidRDefault="009765CC" w:rsidP="00034798">
      <w:pPr>
        <w:outlineLvl w:val="0"/>
        <w:rPr>
          <w:rFonts w:ascii="Arial" w:hAnsi="Arial"/>
          <w:b/>
          <w:sz w:val="20"/>
          <w:szCs w:val="20"/>
        </w:rPr>
      </w:pPr>
    </w:p>
    <w:p w14:paraId="6CA1069B" w14:textId="5BE28222" w:rsidR="00307538" w:rsidRDefault="00307538" w:rsidP="00034798">
      <w:pPr>
        <w:outlineLvl w:val="0"/>
        <w:rPr>
          <w:rFonts w:ascii="Arial" w:hAnsi="Arial"/>
          <w:b/>
          <w:sz w:val="20"/>
          <w:szCs w:val="20"/>
        </w:rPr>
      </w:pPr>
    </w:p>
    <w:p w14:paraId="1BA73975" w14:textId="7534FC87" w:rsidR="00307538" w:rsidRDefault="00307538" w:rsidP="00034798">
      <w:pPr>
        <w:outlineLvl w:val="0"/>
        <w:rPr>
          <w:rFonts w:ascii="Arial" w:hAnsi="Arial"/>
          <w:b/>
          <w:sz w:val="20"/>
          <w:szCs w:val="20"/>
        </w:rPr>
      </w:pPr>
    </w:p>
    <w:p w14:paraId="0CC8B4AB" w14:textId="60FDCC0E" w:rsidR="00307538" w:rsidRDefault="00307538" w:rsidP="00034798">
      <w:pPr>
        <w:outlineLvl w:val="0"/>
        <w:rPr>
          <w:rFonts w:ascii="Arial" w:hAnsi="Arial"/>
          <w:b/>
          <w:sz w:val="20"/>
          <w:szCs w:val="20"/>
        </w:rPr>
      </w:pPr>
    </w:p>
    <w:p w14:paraId="038A1C91" w14:textId="6F5067B6" w:rsidR="00307538" w:rsidRDefault="00307538" w:rsidP="00034798">
      <w:pPr>
        <w:outlineLvl w:val="0"/>
        <w:rPr>
          <w:rFonts w:ascii="Arial" w:hAnsi="Arial"/>
          <w:b/>
          <w:sz w:val="20"/>
          <w:szCs w:val="20"/>
        </w:rPr>
      </w:pPr>
    </w:p>
    <w:p w14:paraId="7AA79D03" w14:textId="166001AA" w:rsidR="00307538" w:rsidRDefault="00307538" w:rsidP="00034798">
      <w:pPr>
        <w:outlineLvl w:val="0"/>
        <w:rPr>
          <w:rFonts w:ascii="Arial" w:hAnsi="Arial"/>
          <w:b/>
          <w:sz w:val="20"/>
          <w:szCs w:val="20"/>
        </w:rPr>
      </w:pPr>
    </w:p>
    <w:p w14:paraId="7C2C9206" w14:textId="167F5274" w:rsidR="00307538" w:rsidRDefault="00307538" w:rsidP="00034798">
      <w:pPr>
        <w:outlineLvl w:val="0"/>
        <w:rPr>
          <w:rFonts w:ascii="Arial" w:hAnsi="Arial"/>
          <w:b/>
          <w:sz w:val="20"/>
          <w:szCs w:val="20"/>
        </w:rPr>
      </w:pPr>
    </w:p>
    <w:p w14:paraId="2D8AF6D8" w14:textId="77777777" w:rsidR="00307538" w:rsidRDefault="00307538" w:rsidP="00034798">
      <w:pPr>
        <w:outlineLvl w:val="0"/>
        <w:rPr>
          <w:rFonts w:ascii="Arial" w:hAnsi="Arial"/>
          <w:b/>
          <w:sz w:val="20"/>
          <w:szCs w:val="20"/>
        </w:rPr>
      </w:pPr>
    </w:p>
    <w:p w14:paraId="5646A8C7" w14:textId="77777777" w:rsidR="009765CC" w:rsidRDefault="009765CC" w:rsidP="00034798">
      <w:pPr>
        <w:outlineLvl w:val="0"/>
        <w:rPr>
          <w:rFonts w:ascii="Arial" w:hAnsi="Arial"/>
          <w:b/>
          <w:sz w:val="20"/>
          <w:szCs w:val="20"/>
        </w:rPr>
      </w:pPr>
    </w:p>
    <w:p w14:paraId="12CF5DA9" w14:textId="77777777" w:rsidR="009765CC" w:rsidRDefault="009765CC" w:rsidP="00034798">
      <w:pPr>
        <w:outlineLvl w:val="0"/>
        <w:rPr>
          <w:rFonts w:ascii="Arial" w:hAnsi="Arial"/>
          <w:b/>
          <w:sz w:val="20"/>
          <w:szCs w:val="20"/>
        </w:rPr>
      </w:pPr>
    </w:p>
    <w:p w14:paraId="5B477C19" w14:textId="77777777" w:rsidR="009765CC" w:rsidRDefault="009765CC" w:rsidP="00034798">
      <w:pPr>
        <w:outlineLvl w:val="0"/>
        <w:rPr>
          <w:rFonts w:ascii="Arial" w:hAnsi="Arial"/>
          <w:b/>
          <w:sz w:val="20"/>
          <w:szCs w:val="20"/>
        </w:rPr>
      </w:pPr>
    </w:p>
    <w:p w14:paraId="18DC8ACB" w14:textId="69CA3821" w:rsidR="009765CC" w:rsidRPr="00A20473" w:rsidRDefault="009765CC" w:rsidP="00A20473">
      <w:pPr>
        <w:pStyle w:val="ListParagraph"/>
        <w:numPr>
          <w:ilvl w:val="0"/>
          <w:numId w:val="9"/>
        </w:numPr>
        <w:outlineLvl w:val="0"/>
        <w:rPr>
          <w:rFonts w:ascii="Arial" w:hAnsi="Arial"/>
          <w:b/>
          <w:sz w:val="20"/>
          <w:szCs w:val="20"/>
        </w:rPr>
      </w:pPr>
      <w:bookmarkStart w:id="38" w:name="_Toc30172842"/>
      <w:bookmarkStart w:id="39" w:name="_Toc30173018"/>
      <w:bookmarkStart w:id="40" w:name="_Toc30173845"/>
      <w:bookmarkStart w:id="41" w:name="_Toc61962824"/>
      <w:r w:rsidRPr="00A20473">
        <w:rPr>
          <w:rFonts w:ascii="Arial" w:hAnsi="Arial"/>
          <w:b/>
          <w:sz w:val="20"/>
          <w:szCs w:val="20"/>
        </w:rPr>
        <w:lastRenderedPageBreak/>
        <w:t>INTRODUCTION</w:t>
      </w:r>
      <w:bookmarkEnd w:id="38"/>
      <w:bookmarkEnd w:id="39"/>
      <w:bookmarkEnd w:id="40"/>
      <w:bookmarkEnd w:id="41"/>
    </w:p>
    <w:p w14:paraId="0A33EC97" w14:textId="05081B6D" w:rsidR="00633D9F" w:rsidRDefault="00633D9F" w:rsidP="00034798">
      <w:pPr>
        <w:outlineLvl w:val="0"/>
        <w:rPr>
          <w:rFonts w:ascii="Arial" w:hAnsi="Arial"/>
          <w:b/>
          <w:sz w:val="20"/>
          <w:szCs w:val="20"/>
        </w:rPr>
      </w:pPr>
    </w:p>
    <w:p w14:paraId="6D3977D0" w14:textId="77777777" w:rsidR="00633D9F" w:rsidRPr="000D06B0" w:rsidRDefault="00633D9F" w:rsidP="000D06B0">
      <w:pPr>
        <w:jc w:val="both"/>
        <w:outlineLvl w:val="0"/>
        <w:rPr>
          <w:rFonts w:ascii="Arial" w:hAnsi="Arial"/>
          <w:bCs/>
          <w:sz w:val="20"/>
          <w:szCs w:val="20"/>
        </w:rPr>
      </w:pPr>
      <w:bookmarkStart w:id="42" w:name="_Toc30172843"/>
      <w:bookmarkStart w:id="43" w:name="_Toc30173019"/>
      <w:bookmarkStart w:id="44" w:name="_Toc30173622"/>
      <w:bookmarkStart w:id="45" w:name="_Toc30173846"/>
      <w:bookmarkStart w:id="46" w:name="_Toc30173954"/>
      <w:bookmarkStart w:id="47" w:name="_Toc30174063"/>
      <w:bookmarkStart w:id="48" w:name="_Toc30174166"/>
      <w:bookmarkStart w:id="49" w:name="_Toc30174238"/>
      <w:bookmarkStart w:id="50" w:name="_Toc61962825"/>
      <w:r w:rsidRPr="000D06B0">
        <w:rPr>
          <w:rFonts w:ascii="Arial" w:hAnsi="Arial"/>
          <w:bCs/>
          <w:sz w:val="20"/>
          <w:szCs w:val="20"/>
        </w:rPr>
        <w:t>In terms of Section 72(1)(a) and 52(d) of the Local Government: Municipal Finance Management Act (MFMA),  Act 56 of 2003 the Accounting Officer must by 25 January of each year assess the performance of the municipality during the first half of the financial year.  A report on such an assessment must, in terms of Section 72(1</w:t>
      </w:r>
      <w:proofErr w:type="gramStart"/>
      <w:r w:rsidRPr="000D06B0">
        <w:rPr>
          <w:rFonts w:ascii="Arial" w:hAnsi="Arial"/>
          <w:bCs/>
          <w:sz w:val="20"/>
          <w:szCs w:val="20"/>
        </w:rPr>
        <w:t>)(</w:t>
      </w:r>
      <w:proofErr w:type="gramEnd"/>
      <w:r w:rsidRPr="000D06B0">
        <w:rPr>
          <w:rFonts w:ascii="Arial" w:hAnsi="Arial"/>
          <w:bCs/>
          <w:sz w:val="20"/>
          <w:szCs w:val="20"/>
        </w:rPr>
        <w:t>b) of the MFMA, be submitted to the Mayor, Provincial and National Treasury.</w:t>
      </w:r>
      <w:bookmarkEnd w:id="42"/>
      <w:bookmarkEnd w:id="43"/>
      <w:bookmarkEnd w:id="44"/>
      <w:bookmarkEnd w:id="45"/>
      <w:bookmarkEnd w:id="46"/>
      <w:bookmarkEnd w:id="47"/>
      <w:bookmarkEnd w:id="48"/>
      <w:bookmarkEnd w:id="49"/>
      <w:bookmarkEnd w:id="50"/>
      <w:r w:rsidRPr="000D06B0">
        <w:rPr>
          <w:rFonts w:ascii="Arial" w:hAnsi="Arial"/>
          <w:bCs/>
          <w:sz w:val="20"/>
          <w:szCs w:val="20"/>
        </w:rPr>
        <w:t xml:space="preserve"> </w:t>
      </w:r>
    </w:p>
    <w:p w14:paraId="50B64F9C" w14:textId="77777777" w:rsidR="00633D9F" w:rsidRPr="000D06B0" w:rsidRDefault="00633D9F" w:rsidP="000D06B0">
      <w:pPr>
        <w:jc w:val="both"/>
        <w:outlineLvl w:val="0"/>
        <w:rPr>
          <w:rFonts w:ascii="Arial" w:hAnsi="Arial"/>
          <w:bCs/>
          <w:sz w:val="20"/>
          <w:szCs w:val="20"/>
        </w:rPr>
      </w:pPr>
      <w:bookmarkStart w:id="51" w:name="_Toc30172844"/>
      <w:bookmarkStart w:id="52" w:name="_Toc30173020"/>
      <w:bookmarkStart w:id="53" w:name="_Toc30173623"/>
      <w:bookmarkStart w:id="54" w:name="_Toc30173847"/>
      <w:bookmarkStart w:id="55" w:name="_Toc30173955"/>
      <w:bookmarkStart w:id="56" w:name="_Toc30174064"/>
      <w:bookmarkStart w:id="57" w:name="_Toc30174167"/>
      <w:bookmarkStart w:id="58" w:name="_Toc30174239"/>
      <w:bookmarkStart w:id="59" w:name="_Toc61962826"/>
      <w:r w:rsidRPr="000D06B0">
        <w:rPr>
          <w:rFonts w:ascii="Arial" w:hAnsi="Arial"/>
          <w:bCs/>
          <w:sz w:val="20"/>
          <w:szCs w:val="20"/>
        </w:rPr>
        <w:t>Once the Mayor has considered the report, it must be submitted to Council by 31 January in terms of Section 54 of the MFMA.</w:t>
      </w:r>
      <w:bookmarkEnd w:id="51"/>
      <w:bookmarkEnd w:id="52"/>
      <w:bookmarkEnd w:id="53"/>
      <w:bookmarkEnd w:id="54"/>
      <w:bookmarkEnd w:id="55"/>
      <w:bookmarkEnd w:id="56"/>
      <w:bookmarkEnd w:id="57"/>
      <w:bookmarkEnd w:id="58"/>
      <w:bookmarkEnd w:id="59"/>
      <w:r w:rsidRPr="000D06B0">
        <w:rPr>
          <w:rFonts w:ascii="Arial" w:hAnsi="Arial"/>
          <w:bCs/>
          <w:sz w:val="20"/>
          <w:szCs w:val="20"/>
        </w:rPr>
        <w:t xml:space="preserve"> </w:t>
      </w:r>
    </w:p>
    <w:p w14:paraId="7D1906FC" w14:textId="5A019E34" w:rsidR="00633D9F" w:rsidRPr="000D06B0" w:rsidRDefault="00633D9F" w:rsidP="000D06B0">
      <w:pPr>
        <w:jc w:val="both"/>
        <w:outlineLvl w:val="0"/>
        <w:rPr>
          <w:rFonts w:ascii="Arial" w:hAnsi="Arial"/>
          <w:bCs/>
          <w:sz w:val="20"/>
          <w:szCs w:val="20"/>
        </w:rPr>
      </w:pPr>
      <w:bookmarkStart w:id="60" w:name="_Toc30172845"/>
      <w:bookmarkStart w:id="61" w:name="_Toc30173021"/>
      <w:bookmarkStart w:id="62" w:name="_Toc30173624"/>
      <w:bookmarkStart w:id="63" w:name="_Toc30173848"/>
      <w:bookmarkStart w:id="64" w:name="_Toc30173956"/>
      <w:bookmarkStart w:id="65" w:name="_Toc30174065"/>
      <w:bookmarkStart w:id="66" w:name="_Toc30174168"/>
      <w:bookmarkStart w:id="67" w:name="_Toc30174240"/>
      <w:bookmarkStart w:id="68" w:name="_Toc61962827"/>
      <w:r w:rsidRPr="000D06B0">
        <w:rPr>
          <w:rFonts w:ascii="Arial" w:hAnsi="Arial"/>
          <w:bCs/>
          <w:sz w:val="20"/>
          <w:szCs w:val="20"/>
        </w:rPr>
        <w:t xml:space="preserve">The Mid-year Performance Assessment Report and supporting tables of Dr </w:t>
      </w:r>
      <w:proofErr w:type="spellStart"/>
      <w:r w:rsidRPr="000D06B0">
        <w:rPr>
          <w:rFonts w:ascii="Arial" w:hAnsi="Arial"/>
          <w:bCs/>
          <w:sz w:val="20"/>
          <w:szCs w:val="20"/>
        </w:rPr>
        <w:t>Nkosazana</w:t>
      </w:r>
      <w:proofErr w:type="spellEnd"/>
      <w:r w:rsidRPr="000D06B0">
        <w:rPr>
          <w:rFonts w:ascii="Arial" w:hAnsi="Arial"/>
          <w:bCs/>
          <w:sz w:val="20"/>
          <w:szCs w:val="20"/>
        </w:rPr>
        <w:t xml:space="preserve"> Dlamini Zuma Local Municipality is prepared in accordance with MFMA Circular 13 and the Municipal Budget and Reporting Regulations.</w:t>
      </w:r>
      <w:bookmarkEnd w:id="60"/>
      <w:bookmarkEnd w:id="61"/>
      <w:bookmarkEnd w:id="62"/>
      <w:bookmarkEnd w:id="63"/>
      <w:bookmarkEnd w:id="64"/>
      <w:bookmarkEnd w:id="65"/>
      <w:bookmarkEnd w:id="66"/>
      <w:bookmarkEnd w:id="67"/>
      <w:bookmarkEnd w:id="68"/>
      <w:r w:rsidRPr="000D06B0">
        <w:rPr>
          <w:rFonts w:ascii="Arial" w:hAnsi="Arial"/>
          <w:bCs/>
          <w:sz w:val="20"/>
          <w:szCs w:val="20"/>
        </w:rPr>
        <w:t xml:space="preserve">  </w:t>
      </w:r>
    </w:p>
    <w:p w14:paraId="2BC00958" w14:textId="44C9BE71" w:rsidR="000D06B0" w:rsidRPr="00390160" w:rsidRDefault="008036E7" w:rsidP="000D06B0">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The municipality developed the service delivery and budget implementation plan internally and it has been audited by the Internal Audit Unit. This plan was also submitted to the Auditor General, Provincial Treasury Office as well as Provincial </w:t>
      </w:r>
      <w:proofErr w:type="spellStart"/>
      <w:r>
        <w:rPr>
          <w:rFonts w:ascii="Arial" w:hAnsi="Arial" w:cs="Arial"/>
          <w:color w:val="000000" w:themeColor="text1"/>
          <w:sz w:val="20"/>
          <w:szCs w:val="20"/>
        </w:rPr>
        <w:t>Cogta</w:t>
      </w:r>
      <w:proofErr w:type="spellEnd"/>
      <w:r>
        <w:rPr>
          <w:rFonts w:ascii="Arial" w:hAnsi="Arial" w:cs="Arial"/>
          <w:color w:val="000000" w:themeColor="text1"/>
          <w:sz w:val="20"/>
          <w:szCs w:val="20"/>
        </w:rPr>
        <w:t xml:space="preserve"> as per the legislation. </w:t>
      </w:r>
      <w:r w:rsidR="00390160" w:rsidRPr="00390160">
        <w:rPr>
          <w:rFonts w:ascii="Arial" w:hAnsi="Arial" w:cs="Arial"/>
          <w:color w:val="000000" w:themeColor="text1"/>
          <w:sz w:val="20"/>
          <w:szCs w:val="20"/>
        </w:rPr>
        <w:t>The Council has approved</w:t>
      </w:r>
      <w:r w:rsidR="00390160" w:rsidRPr="000D06B0">
        <w:rPr>
          <w:rFonts w:ascii="Arial" w:hAnsi="Arial" w:cs="Arial"/>
          <w:color w:val="000000" w:themeColor="text1"/>
          <w:sz w:val="20"/>
          <w:szCs w:val="20"/>
        </w:rPr>
        <w:t xml:space="preserve"> on the </w:t>
      </w:r>
      <w:r w:rsidR="00F400D6">
        <w:rPr>
          <w:rFonts w:ascii="Arial" w:hAnsi="Arial" w:cs="Arial"/>
          <w:color w:val="000000" w:themeColor="text1"/>
          <w:sz w:val="20"/>
          <w:szCs w:val="20"/>
        </w:rPr>
        <w:t>234d of June 2020</w:t>
      </w:r>
      <w:r w:rsidR="00390160" w:rsidRPr="000D06B0">
        <w:rPr>
          <w:rFonts w:ascii="Arial" w:hAnsi="Arial" w:cs="Arial"/>
          <w:color w:val="000000" w:themeColor="text1"/>
          <w:sz w:val="20"/>
          <w:szCs w:val="20"/>
        </w:rPr>
        <w:t xml:space="preserve"> </w:t>
      </w:r>
      <w:r w:rsidR="000D06B0">
        <w:rPr>
          <w:rFonts w:ascii="Arial" w:hAnsi="Arial" w:cs="Arial"/>
          <w:color w:val="000000" w:themeColor="text1"/>
          <w:sz w:val="20"/>
          <w:szCs w:val="20"/>
        </w:rPr>
        <w:t>the</w:t>
      </w:r>
      <w:r w:rsidR="00390160" w:rsidRPr="000D06B0">
        <w:rPr>
          <w:rFonts w:ascii="Arial" w:hAnsi="Arial" w:cs="Arial"/>
          <w:color w:val="000000" w:themeColor="text1"/>
          <w:sz w:val="20"/>
          <w:szCs w:val="20"/>
        </w:rPr>
        <w:t xml:space="preserve"> </w:t>
      </w:r>
      <w:r w:rsidR="00F400D6">
        <w:rPr>
          <w:rFonts w:ascii="Arial" w:hAnsi="Arial" w:cs="Arial"/>
          <w:color w:val="000000" w:themeColor="text1"/>
          <w:sz w:val="20"/>
          <w:szCs w:val="20"/>
        </w:rPr>
        <w:t>2020/21</w:t>
      </w:r>
      <w:r w:rsidR="00390160" w:rsidRPr="000D06B0">
        <w:rPr>
          <w:rFonts w:ascii="Arial" w:hAnsi="Arial" w:cs="Arial"/>
          <w:color w:val="000000" w:themeColor="text1"/>
          <w:sz w:val="20"/>
          <w:szCs w:val="20"/>
        </w:rPr>
        <w:t xml:space="preserve"> Service Delivery and Budget Implementation Plan/ Organisational</w:t>
      </w:r>
      <w:r w:rsidR="00390160" w:rsidRPr="00390160">
        <w:rPr>
          <w:rFonts w:ascii="Arial" w:hAnsi="Arial" w:cs="Arial"/>
          <w:color w:val="000000" w:themeColor="text1"/>
          <w:sz w:val="20"/>
          <w:szCs w:val="20"/>
        </w:rPr>
        <w:t xml:space="preserve"> scorecard which reports on all the national key performance indicators (NKPIs).</w:t>
      </w:r>
      <w:r w:rsidR="000D06B0">
        <w:rPr>
          <w:rFonts w:ascii="Arial" w:hAnsi="Arial" w:cs="Arial"/>
          <w:color w:val="000000" w:themeColor="text1"/>
          <w:sz w:val="20"/>
          <w:szCs w:val="20"/>
        </w:rPr>
        <w:t xml:space="preserve"> </w:t>
      </w:r>
      <w:r w:rsidR="000D06B0" w:rsidRPr="00390160">
        <w:rPr>
          <w:rFonts w:ascii="Arial" w:hAnsi="Arial" w:cs="Arial"/>
          <w:color w:val="000000" w:themeColor="text1"/>
          <w:sz w:val="20"/>
          <w:szCs w:val="20"/>
        </w:rPr>
        <w:t>The Service Delivery and Budget Implementation Plan (SDBIP) details the implementation of service delivery and the budget for the financial year in compliance with the Municipal Finance Management Act</w:t>
      </w:r>
      <w:r w:rsidR="000D06B0">
        <w:rPr>
          <w:rFonts w:ascii="Arial" w:hAnsi="Arial" w:cs="Arial"/>
          <w:color w:val="000000" w:themeColor="text1"/>
          <w:sz w:val="20"/>
          <w:szCs w:val="20"/>
        </w:rPr>
        <w:t xml:space="preserve"> </w:t>
      </w:r>
      <w:r w:rsidR="000D06B0" w:rsidRPr="00390160">
        <w:rPr>
          <w:rFonts w:ascii="Arial" w:hAnsi="Arial" w:cs="Arial"/>
          <w:color w:val="000000" w:themeColor="text1"/>
          <w:sz w:val="20"/>
          <w:szCs w:val="20"/>
        </w:rPr>
        <w:t xml:space="preserve">(MFMA), 2003 (Act 56 of 2003). </w:t>
      </w:r>
      <w:r>
        <w:rPr>
          <w:rFonts w:ascii="Arial" w:hAnsi="Arial" w:cs="Arial"/>
          <w:color w:val="000000" w:themeColor="text1"/>
          <w:sz w:val="20"/>
          <w:szCs w:val="20"/>
        </w:rPr>
        <w:t>It</w:t>
      </w:r>
      <w:r w:rsidR="000D06B0" w:rsidRPr="00390160">
        <w:rPr>
          <w:rFonts w:ascii="Arial" w:hAnsi="Arial" w:cs="Arial"/>
          <w:color w:val="000000" w:themeColor="text1"/>
          <w:sz w:val="20"/>
          <w:szCs w:val="20"/>
        </w:rPr>
        <w:t xml:space="preserve"> serves as a contract between the administration, the Council and the community, expressing the objectives set by the Council as quantifiable outcomes that can be implemented by the administration over the next twelve months. </w:t>
      </w:r>
      <w:r>
        <w:rPr>
          <w:rFonts w:ascii="Arial" w:hAnsi="Arial" w:cs="Arial"/>
          <w:color w:val="000000" w:themeColor="text1"/>
          <w:sz w:val="20"/>
          <w:szCs w:val="20"/>
        </w:rPr>
        <w:t>It also</w:t>
      </w:r>
      <w:r w:rsidR="000D06B0" w:rsidRPr="00390160">
        <w:rPr>
          <w:rFonts w:ascii="Arial" w:hAnsi="Arial" w:cs="Arial"/>
          <w:color w:val="000000" w:themeColor="text1"/>
          <w:sz w:val="20"/>
          <w:szCs w:val="20"/>
        </w:rPr>
        <w:t xml:space="preserve"> facilitates the process of holding management accountable for their performance. It provides the basis for measuring performance in the delivery of services.</w:t>
      </w:r>
    </w:p>
    <w:p w14:paraId="647C4F50" w14:textId="77777777" w:rsidR="000D06B0" w:rsidRDefault="000D06B0" w:rsidP="000D06B0">
      <w:pPr>
        <w:spacing w:after="0" w:line="312" w:lineRule="atLeast"/>
        <w:jc w:val="both"/>
        <w:rPr>
          <w:rFonts w:ascii="Arial" w:hAnsi="Arial" w:cs="Arial"/>
          <w:b/>
          <w:bCs/>
          <w:color w:val="000000" w:themeColor="text1"/>
          <w:sz w:val="24"/>
          <w:szCs w:val="24"/>
        </w:rPr>
      </w:pPr>
    </w:p>
    <w:p w14:paraId="6B1AE230" w14:textId="1C3CD321" w:rsidR="00390160" w:rsidRPr="000D06B0" w:rsidRDefault="00390160" w:rsidP="000D06B0">
      <w:pPr>
        <w:spacing w:after="0" w:line="312" w:lineRule="atLeast"/>
        <w:jc w:val="both"/>
        <w:rPr>
          <w:rFonts w:ascii="Arial" w:hAnsi="Arial" w:cs="Arial"/>
          <w:b/>
          <w:bCs/>
          <w:color w:val="000000" w:themeColor="text1"/>
          <w:sz w:val="24"/>
          <w:szCs w:val="24"/>
        </w:rPr>
      </w:pPr>
      <w:r w:rsidRPr="00390160">
        <w:rPr>
          <w:rFonts w:ascii="Arial" w:hAnsi="Arial" w:cs="Arial"/>
          <w:b/>
          <w:bCs/>
          <w:color w:val="000000" w:themeColor="text1"/>
          <w:sz w:val="24"/>
          <w:szCs w:val="24"/>
        </w:rPr>
        <w:t>Key performance areas (KPAs)</w:t>
      </w:r>
    </w:p>
    <w:p w14:paraId="4B0F3D46" w14:textId="77777777" w:rsidR="000D06B0" w:rsidRPr="00390160" w:rsidRDefault="000D06B0" w:rsidP="000D06B0">
      <w:pPr>
        <w:spacing w:after="0" w:line="312" w:lineRule="atLeast"/>
        <w:jc w:val="both"/>
        <w:rPr>
          <w:rFonts w:ascii="Arial" w:hAnsi="Arial" w:cs="Arial"/>
          <w:color w:val="000000" w:themeColor="text1"/>
          <w:sz w:val="20"/>
          <w:szCs w:val="20"/>
        </w:rPr>
      </w:pPr>
    </w:p>
    <w:p w14:paraId="01643B16" w14:textId="77777777" w:rsidR="00390160" w:rsidRPr="00390160" w:rsidRDefault="00390160" w:rsidP="00CC2032">
      <w:pPr>
        <w:numPr>
          <w:ilvl w:val="0"/>
          <w:numId w:val="12"/>
        </w:numPr>
        <w:spacing w:after="0" w:line="240" w:lineRule="auto"/>
        <w:jc w:val="both"/>
        <w:rPr>
          <w:rFonts w:ascii="Arial" w:hAnsi="Arial" w:cs="Arial"/>
          <w:color w:val="000000" w:themeColor="text1"/>
          <w:sz w:val="20"/>
          <w:szCs w:val="20"/>
        </w:rPr>
      </w:pPr>
      <w:r w:rsidRPr="00390160">
        <w:rPr>
          <w:rFonts w:ascii="Arial" w:hAnsi="Arial" w:cs="Arial"/>
          <w:color w:val="000000" w:themeColor="text1"/>
          <w:sz w:val="20"/>
          <w:szCs w:val="20"/>
        </w:rPr>
        <w:t>Municipal transformation and organisational development;</w:t>
      </w:r>
    </w:p>
    <w:p w14:paraId="7D3B60FA" w14:textId="77777777" w:rsidR="00390160" w:rsidRPr="00390160" w:rsidRDefault="00390160" w:rsidP="00CC2032">
      <w:pPr>
        <w:numPr>
          <w:ilvl w:val="0"/>
          <w:numId w:val="12"/>
        </w:numPr>
        <w:spacing w:after="0" w:line="240" w:lineRule="auto"/>
        <w:jc w:val="both"/>
        <w:rPr>
          <w:rFonts w:ascii="Arial" w:hAnsi="Arial" w:cs="Arial"/>
          <w:color w:val="000000" w:themeColor="text1"/>
          <w:sz w:val="20"/>
          <w:szCs w:val="20"/>
        </w:rPr>
      </w:pPr>
      <w:r w:rsidRPr="00390160">
        <w:rPr>
          <w:rFonts w:ascii="Arial" w:hAnsi="Arial" w:cs="Arial"/>
          <w:color w:val="000000" w:themeColor="text1"/>
          <w:sz w:val="20"/>
          <w:szCs w:val="20"/>
        </w:rPr>
        <w:t>Basic service delivery;</w:t>
      </w:r>
    </w:p>
    <w:p w14:paraId="6A045A8B" w14:textId="77777777" w:rsidR="00390160" w:rsidRPr="00390160" w:rsidRDefault="00390160" w:rsidP="00CC2032">
      <w:pPr>
        <w:numPr>
          <w:ilvl w:val="0"/>
          <w:numId w:val="12"/>
        </w:numPr>
        <w:spacing w:after="0" w:line="240" w:lineRule="auto"/>
        <w:jc w:val="both"/>
        <w:rPr>
          <w:rFonts w:ascii="Arial" w:hAnsi="Arial" w:cs="Arial"/>
          <w:color w:val="000000" w:themeColor="text1"/>
          <w:sz w:val="20"/>
          <w:szCs w:val="20"/>
        </w:rPr>
      </w:pPr>
      <w:r w:rsidRPr="00390160">
        <w:rPr>
          <w:rFonts w:ascii="Arial" w:hAnsi="Arial" w:cs="Arial"/>
          <w:color w:val="000000" w:themeColor="text1"/>
          <w:sz w:val="20"/>
          <w:szCs w:val="20"/>
        </w:rPr>
        <w:t>Local economic development;</w:t>
      </w:r>
    </w:p>
    <w:p w14:paraId="44127850" w14:textId="77777777" w:rsidR="00390160" w:rsidRPr="00390160" w:rsidRDefault="00390160" w:rsidP="00CC2032">
      <w:pPr>
        <w:numPr>
          <w:ilvl w:val="0"/>
          <w:numId w:val="12"/>
        </w:numPr>
        <w:spacing w:after="0" w:line="240" w:lineRule="auto"/>
        <w:jc w:val="both"/>
        <w:rPr>
          <w:rFonts w:ascii="Arial" w:hAnsi="Arial" w:cs="Arial"/>
          <w:color w:val="000000" w:themeColor="text1"/>
          <w:sz w:val="20"/>
          <w:szCs w:val="20"/>
        </w:rPr>
      </w:pPr>
      <w:r w:rsidRPr="00390160">
        <w:rPr>
          <w:rFonts w:ascii="Arial" w:hAnsi="Arial" w:cs="Arial"/>
          <w:color w:val="000000" w:themeColor="text1"/>
          <w:sz w:val="20"/>
          <w:szCs w:val="20"/>
        </w:rPr>
        <w:t>Municipal financial viability and management; and</w:t>
      </w:r>
    </w:p>
    <w:p w14:paraId="139E6B88" w14:textId="230489FF" w:rsidR="00390160" w:rsidRPr="000D06B0" w:rsidRDefault="00390160" w:rsidP="00CC2032">
      <w:pPr>
        <w:numPr>
          <w:ilvl w:val="0"/>
          <w:numId w:val="12"/>
        </w:numPr>
        <w:spacing w:after="0" w:line="240" w:lineRule="auto"/>
        <w:jc w:val="both"/>
        <w:rPr>
          <w:rFonts w:ascii="Arial" w:hAnsi="Arial" w:cs="Arial"/>
          <w:color w:val="000000" w:themeColor="text1"/>
          <w:sz w:val="20"/>
          <w:szCs w:val="20"/>
        </w:rPr>
      </w:pPr>
      <w:r w:rsidRPr="00390160">
        <w:rPr>
          <w:rFonts w:ascii="Arial" w:hAnsi="Arial" w:cs="Arial"/>
          <w:color w:val="000000" w:themeColor="text1"/>
          <w:sz w:val="20"/>
          <w:szCs w:val="20"/>
        </w:rPr>
        <w:t>Good governance and public participation.</w:t>
      </w:r>
    </w:p>
    <w:p w14:paraId="1A40574A" w14:textId="77777777" w:rsidR="00390160" w:rsidRPr="000D06B0" w:rsidRDefault="00390160" w:rsidP="00CC2032">
      <w:pPr>
        <w:numPr>
          <w:ilvl w:val="0"/>
          <w:numId w:val="12"/>
        </w:numPr>
        <w:spacing w:after="0" w:line="240" w:lineRule="auto"/>
        <w:jc w:val="both"/>
        <w:rPr>
          <w:rFonts w:ascii="Arial" w:hAnsi="Arial" w:cs="Arial"/>
          <w:color w:val="000000" w:themeColor="text1"/>
          <w:sz w:val="20"/>
          <w:szCs w:val="20"/>
        </w:rPr>
      </w:pPr>
      <w:r w:rsidRPr="000D06B0">
        <w:rPr>
          <w:rFonts w:ascii="Arial" w:hAnsi="Arial" w:cs="Arial"/>
          <w:color w:val="000000" w:themeColor="text1"/>
          <w:sz w:val="20"/>
          <w:szCs w:val="20"/>
        </w:rPr>
        <w:t xml:space="preserve">Cross Cutting Interventions </w:t>
      </w:r>
    </w:p>
    <w:p w14:paraId="02BEF1F9" w14:textId="77777777" w:rsidR="00390160" w:rsidRPr="000D06B0" w:rsidRDefault="00390160" w:rsidP="000D06B0">
      <w:pPr>
        <w:spacing w:after="0" w:line="240" w:lineRule="auto"/>
        <w:jc w:val="both"/>
        <w:rPr>
          <w:rFonts w:ascii="Arial" w:hAnsi="Arial" w:cs="Arial"/>
          <w:color w:val="000000" w:themeColor="text1"/>
          <w:sz w:val="20"/>
          <w:szCs w:val="20"/>
        </w:rPr>
      </w:pPr>
    </w:p>
    <w:p w14:paraId="1A1E731F" w14:textId="0D0BE304" w:rsidR="009765CC" w:rsidRPr="000D06B0" w:rsidRDefault="009765CC" w:rsidP="000D06B0">
      <w:pPr>
        <w:jc w:val="both"/>
        <w:outlineLvl w:val="0"/>
        <w:rPr>
          <w:rFonts w:ascii="Arial" w:hAnsi="Arial" w:cs="Arial"/>
          <w:bCs/>
          <w:color w:val="000000" w:themeColor="text1"/>
          <w:sz w:val="20"/>
          <w:szCs w:val="20"/>
        </w:rPr>
      </w:pPr>
      <w:bookmarkStart w:id="69" w:name="_Toc30172846"/>
      <w:bookmarkStart w:id="70" w:name="_Toc30173022"/>
      <w:bookmarkStart w:id="71" w:name="_Toc30173625"/>
      <w:bookmarkStart w:id="72" w:name="_Toc30173849"/>
      <w:bookmarkStart w:id="73" w:name="_Toc30173957"/>
      <w:bookmarkStart w:id="74" w:name="_Toc30174066"/>
      <w:bookmarkStart w:id="75" w:name="_Toc30174169"/>
      <w:bookmarkStart w:id="76" w:name="_Toc30174241"/>
      <w:bookmarkStart w:id="77" w:name="_Toc61962828"/>
      <w:r w:rsidRPr="000D06B0">
        <w:rPr>
          <w:rFonts w:ascii="Arial" w:hAnsi="Arial" w:cs="Arial"/>
          <w:bCs/>
          <w:color w:val="000000" w:themeColor="text1"/>
          <w:sz w:val="20"/>
          <w:szCs w:val="20"/>
        </w:rPr>
        <w:t>The Mid-Year</w:t>
      </w:r>
      <w:r w:rsidR="009A5A10">
        <w:rPr>
          <w:rFonts w:ascii="Arial" w:hAnsi="Arial" w:cs="Arial"/>
          <w:bCs/>
          <w:color w:val="000000" w:themeColor="text1"/>
          <w:sz w:val="20"/>
          <w:szCs w:val="20"/>
        </w:rPr>
        <w:t xml:space="preserve"> Performance</w:t>
      </w:r>
      <w:r w:rsidRPr="000D06B0">
        <w:rPr>
          <w:rFonts w:ascii="Arial" w:hAnsi="Arial" w:cs="Arial"/>
          <w:bCs/>
          <w:color w:val="000000" w:themeColor="text1"/>
          <w:sz w:val="20"/>
          <w:szCs w:val="20"/>
        </w:rPr>
        <w:t xml:space="preserve"> Assessment is based on the Top Layer Service Delivery and Budget Implementation</w:t>
      </w:r>
      <w:r w:rsidR="00233DBE">
        <w:rPr>
          <w:rFonts w:ascii="Arial" w:hAnsi="Arial" w:cs="Arial"/>
          <w:bCs/>
          <w:color w:val="000000" w:themeColor="text1"/>
          <w:sz w:val="20"/>
          <w:szCs w:val="20"/>
        </w:rPr>
        <w:t xml:space="preserve"> Plan for the period 01 July 2020 to 31 December 2020</w:t>
      </w:r>
      <w:r w:rsidRPr="000D06B0">
        <w:rPr>
          <w:rFonts w:ascii="Arial" w:hAnsi="Arial" w:cs="Arial"/>
          <w:bCs/>
          <w:color w:val="000000" w:themeColor="text1"/>
          <w:sz w:val="20"/>
          <w:szCs w:val="20"/>
        </w:rPr>
        <w:t>.   The Top Layer SDBIP will, in terms of MFMA Circular 13, be submitted with the Adjustments budget for approval by Council.</w:t>
      </w:r>
      <w:bookmarkEnd w:id="69"/>
      <w:bookmarkEnd w:id="70"/>
      <w:bookmarkEnd w:id="71"/>
      <w:bookmarkEnd w:id="72"/>
      <w:bookmarkEnd w:id="73"/>
      <w:bookmarkEnd w:id="74"/>
      <w:bookmarkEnd w:id="75"/>
      <w:bookmarkEnd w:id="76"/>
      <w:bookmarkEnd w:id="77"/>
      <w:r w:rsidRPr="000D06B0">
        <w:rPr>
          <w:rFonts w:ascii="Arial" w:hAnsi="Arial" w:cs="Arial"/>
          <w:bCs/>
          <w:color w:val="000000" w:themeColor="text1"/>
          <w:sz w:val="20"/>
          <w:szCs w:val="20"/>
        </w:rPr>
        <w:t xml:space="preserve"> </w:t>
      </w:r>
    </w:p>
    <w:p w14:paraId="1D333BEA" w14:textId="7E6AF21C" w:rsidR="009765CC" w:rsidRPr="000D06B0" w:rsidRDefault="009765CC" w:rsidP="000D06B0">
      <w:pPr>
        <w:jc w:val="both"/>
        <w:outlineLvl w:val="0"/>
        <w:rPr>
          <w:rFonts w:ascii="Arial" w:hAnsi="Arial" w:cs="Arial"/>
          <w:bCs/>
          <w:color w:val="000000" w:themeColor="text1"/>
          <w:sz w:val="20"/>
          <w:szCs w:val="20"/>
        </w:rPr>
      </w:pPr>
      <w:bookmarkStart w:id="78" w:name="_Toc30172847"/>
      <w:bookmarkStart w:id="79" w:name="_Toc30173023"/>
      <w:bookmarkStart w:id="80" w:name="_Toc30173626"/>
      <w:bookmarkStart w:id="81" w:name="_Toc30173850"/>
      <w:bookmarkStart w:id="82" w:name="_Toc30173958"/>
      <w:bookmarkStart w:id="83" w:name="_Toc30174067"/>
      <w:bookmarkStart w:id="84" w:name="_Toc30174170"/>
      <w:bookmarkStart w:id="85" w:name="_Toc30174242"/>
      <w:bookmarkStart w:id="86" w:name="_Toc61962829"/>
      <w:r w:rsidRPr="000D06B0">
        <w:rPr>
          <w:rFonts w:ascii="Arial" w:hAnsi="Arial" w:cs="Arial"/>
          <w:bCs/>
          <w:color w:val="000000" w:themeColor="text1"/>
          <w:sz w:val="20"/>
          <w:szCs w:val="20"/>
        </w:rPr>
        <w:t xml:space="preserve">Annexure B is the </w:t>
      </w:r>
      <w:r w:rsidR="009A5A10">
        <w:rPr>
          <w:rFonts w:ascii="Arial" w:hAnsi="Arial" w:cs="Arial"/>
          <w:bCs/>
          <w:color w:val="000000" w:themeColor="text1"/>
          <w:sz w:val="20"/>
          <w:szCs w:val="20"/>
        </w:rPr>
        <w:t xml:space="preserve">Quarter 2 reporting template for the </w:t>
      </w:r>
      <w:r w:rsidRPr="000D06B0">
        <w:rPr>
          <w:rFonts w:ascii="Arial" w:hAnsi="Arial" w:cs="Arial"/>
          <w:bCs/>
          <w:color w:val="000000" w:themeColor="text1"/>
          <w:sz w:val="20"/>
          <w:szCs w:val="20"/>
        </w:rPr>
        <w:t>Top Layer SDBIP Report for the first half of the finan</w:t>
      </w:r>
      <w:r w:rsidR="00233DBE">
        <w:rPr>
          <w:rFonts w:ascii="Arial" w:hAnsi="Arial" w:cs="Arial"/>
          <w:bCs/>
          <w:color w:val="000000" w:themeColor="text1"/>
          <w:sz w:val="20"/>
          <w:szCs w:val="20"/>
        </w:rPr>
        <w:t>cial year ending 31 December 2020</w:t>
      </w:r>
      <w:r w:rsidRPr="000D06B0">
        <w:rPr>
          <w:rFonts w:ascii="Arial" w:hAnsi="Arial" w:cs="Arial"/>
          <w:bCs/>
          <w:color w:val="000000" w:themeColor="text1"/>
          <w:sz w:val="20"/>
          <w:szCs w:val="20"/>
        </w:rPr>
        <w:t xml:space="preserve"> which measures the municipality’s overall performance per National Key Performance Area.</w:t>
      </w:r>
      <w:bookmarkEnd w:id="78"/>
      <w:bookmarkEnd w:id="79"/>
      <w:bookmarkEnd w:id="80"/>
      <w:bookmarkEnd w:id="81"/>
      <w:bookmarkEnd w:id="82"/>
      <w:bookmarkEnd w:id="83"/>
      <w:bookmarkEnd w:id="84"/>
      <w:bookmarkEnd w:id="85"/>
      <w:bookmarkEnd w:id="86"/>
      <w:r w:rsidRPr="000D06B0">
        <w:rPr>
          <w:rFonts w:ascii="Arial" w:hAnsi="Arial" w:cs="Arial"/>
          <w:bCs/>
          <w:color w:val="000000" w:themeColor="text1"/>
          <w:sz w:val="20"/>
          <w:szCs w:val="20"/>
        </w:rPr>
        <w:t xml:space="preserve"> </w:t>
      </w:r>
    </w:p>
    <w:p w14:paraId="2DB475C2" w14:textId="77777777" w:rsidR="009765CC" w:rsidRPr="000D06B0" w:rsidRDefault="009765CC" w:rsidP="000D06B0">
      <w:pPr>
        <w:jc w:val="both"/>
        <w:outlineLvl w:val="0"/>
        <w:rPr>
          <w:rFonts w:ascii="Arial" w:hAnsi="Arial" w:cs="Arial"/>
          <w:bCs/>
          <w:color w:val="000000" w:themeColor="text1"/>
          <w:sz w:val="20"/>
          <w:szCs w:val="20"/>
        </w:rPr>
      </w:pPr>
    </w:p>
    <w:p w14:paraId="1BCC8428" w14:textId="0EA96D8C" w:rsidR="009765CC" w:rsidRPr="00513035" w:rsidRDefault="00776589" w:rsidP="00513035">
      <w:pPr>
        <w:jc w:val="both"/>
        <w:outlineLvl w:val="0"/>
        <w:rPr>
          <w:rFonts w:ascii="Arial" w:hAnsi="Arial"/>
          <w:bCs/>
          <w:sz w:val="20"/>
          <w:szCs w:val="20"/>
        </w:rPr>
      </w:pPr>
      <w:bookmarkStart w:id="87" w:name="_Toc30172848"/>
      <w:bookmarkStart w:id="88" w:name="_Toc30173024"/>
      <w:bookmarkStart w:id="89" w:name="_Toc30173627"/>
      <w:bookmarkStart w:id="90" w:name="_Toc30173851"/>
      <w:bookmarkStart w:id="91" w:name="_Toc30173959"/>
      <w:bookmarkStart w:id="92" w:name="_Toc30174068"/>
      <w:bookmarkStart w:id="93" w:name="_Toc30174171"/>
      <w:bookmarkStart w:id="94" w:name="_Toc30174243"/>
      <w:bookmarkStart w:id="95" w:name="_Toc61962830"/>
      <w:r w:rsidRPr="00513035">
        <w:rPr>
          <w:rFonts w:ascii="Arial" w:hAnsi="Arial"/>
          <w:bCs/>
          <w:sz w:val="20"/>
          <w:szCs w:val="20"/>
        </w:rPr>
        <w:t xml:space="preserve">All internal departments have prepared their quarter 2/ Mid-year performance report with assistance from the </w:t>
      </w:r>
      <w:r w:rsidR="00513035" w:rsidRPr="00513035">
        <w:rPr>
          <w:rFonts w:ascii="Arial" w:hAnsi="Arial"/>
          <w:bCs/>
          <w:sz w:val="20"/>
          <w:szCs w:val="20"/>
        </w:rPr>
        <w:t>PMS Unit. Reviews on the submitted performance information had been done and reported to the relevant Heads of Departments</w:t>
      </w:r>
      <w:r w:rsidR="00513035">
        <w:rPr>
          <w:rFonts w:ascii="Arial" w:hAnsi="Arial"/>
          <w:bCs/>
          <w:sz w:val="20"/>
          <w:szCs w:val="20"/>
        </w:rPr>
        <w:t xml:space="preserve"> for amendments. The Internal Audit unit </w:t>
      </w:r>
      <w:r w:rsidR="00233DBE">
        <w:rPr>
          <w:rFonts w:ascii="Arial" w:hAnsi="Arial"/>
          <w:bCs/>
          <w:sz w:val="20"/>
          <w:szCs w:val="20"/>
        </w:rPr>
        <w:t>has not yet commenced auditing</w:t>
      </w:r>
      <w:r w:rsidR="00513035">
        <w:rPr>
          <w:rFonts w:ascii="Arial" w:hAnsi="Arial"/>
          <w:bCs/>
          <w:sz w:val="20"/>
          <w:szCs w:val="20"/>
        </w:rPr>
        <w:t xml:space="preserve"> this information in ensuring accuracy on reporting, alignment with the planning document (</w:t>
      </w:r>
      <w:proofErr w:type="spellStart"/>
      <w:r w:rsidR="00513035">
        <w:rPr>
          <w:rFonts w:ascii="Arial" w:hAnsi="Arial"/>
          <w:bCs/>
          <w:sz w:val="20"/>
          <w:szCs w:val="20"/>
        </w:rPr>
        <w:t>sdbip</w:t>
      </w:r>
      <w:proofErr w:type="spellEnd"/>
      <w:r w:rsidR="00513035">
        <w:rPr>
          <w:rFonts w:ascii="Arial" w:hAnsi="Arial"/>
          <w:bCs/>
          <w:sz w:val="20"/>
          <w:szCs w:val="20"/>
        </w:rPr>
        <w:t>) and alignment between indicators and targets as well as compliance issues as per performance management regulations</w:t>
      </w:r>
      <w:bookmarkEnd w:id="87"/>
      <w:bookmarkEnd w:id="88"/>
      <w:bookmarkEnd w:id="89"/>
      <w:bookmarkEnd w:id="90"/>
      <w:bookmarkEnd w:id="91"/>
      <w:bookmarkEnd w:id="92"/>
      <w:bookmarkEnd w:id="93"/>
      <w:bookmarkEnd w:id="94"/>
      <w:r w:rsidR="00233DBE">
        <w:rPr>
          <w:rFonts w:ascii="Arial" w:hAnsi="Arial"/>
          <w:bCs/>
          <w:sz w:val="20"/>
          <w:szCs w:val="20"/>
        </w:rPr>
        <w:t xml:space="preserve"> due to the delays in submission of reports by internal departments</w:t>
      </w:r>
      <w:bookmarkEnd w:id="95"/>
    </w:p>
    <w:p w14:paraId="4A654501" w14:textId="6955682F" w:rsidR="00034798" w:rsidRPr="00A20473" w:rsidRDefault="00034798" w:rsidP="00A20473">
      <w:pPr>
        <w:pStyle w:val="ListParagraph"/>
        <w:numPr>
          <w:ilvl w:val="0"/>
          <w:numId w:val="9"/>
        </w:numPr>
        <w:jc w:val="center"/>
        <w:outlineLvl w:val="0"/>
        <w:rPr>
          <w:rFonts w:ascii="Arial" w:hAnsi="Arial"/>
          <w:b/>
          <w:sz w:val="20"/>
          <w:szCs w:val="20"/>
        </w:rPr>
      </w:pPr>
      <w:bookmarkStart w:id="96" w:name="_Toc30172849"/>
      <w:bookmarkStart w:id="97" w:name="_Toc30173025"/>
      <w:bookmarkStart w:id="98" w:name="_Toc61962831"/>
      <w:r w:rsidRPr="00A20473">
        <w:rPr>
          <w:rFonts w:ascii="Arial" w:hAnsi="Arial"/>
          <w:b/>
          <w:sz w:val="20"/>
          <w:szCs w:val="20"/>
        </w:rPr>
        <w:t>OFFICE OF THE MUNICIPAL MANAGER</w:t>
      </w:r>
      <w:bookmarkEnd w:id="8"/>
      <w:bookmarkEnd w:id="96"/>
      <w:bookmarkEnd w:id="97"/>
      <w:bookmarkEnd w:id="98"/>
    </w:p>
    <w:p w14:paraId="612E6AD2" w14:textId="331D6D2D" w:rsidR="00EC44F6" w:rsidRDefault="00EC44F6" w:rsidP="00034798">
      <w:pPr>
        <w:outlineLvl w:val="0"/>
        <w:rPr>
          <w:rFonts w:ascii="Arial" w:hAnsi="Arial"/>
          <w:bCs/>
          <w:sz w:val="20"/>
          <w:szCs w:val="20"/>
        </w:rPr>
      </w:pPr>
      <w:bookmarkStart w:id="99" w:name="_Toc30172850"/>
      <w:bookmarkStart w:id="100" w:name="_Toc30173026"/>
      <w:bookmarkStart w:id="101" w:name="_Toc30173629"/>
      <w:bookmarkStart w:id="102" w:name="_Toc30173853"/>
      <w:bookmarkStart w:id="103" w:name="_Toc30173961"/>
      <w:bookmarkStart w:id="104" w:name="_Toc30174070"/>
      <w:bookmarkStart w:id="105" w:name="_Toc30174173"/>
      <w:bookmarkStart w:id="106" w:name="_Toc30174245"/>
      <w:bookmarkStart w:id="107" w:name="_Toc61962832"/>
      <w:r w:rsidRPr="00EC44F6">
        <w:rPr>
          <w:rFonts w:ascii="Arial" w:hAnsi="Arial"/>
          <w:bCs/>
          <w:sz w:val="20"/>
          <w:szCs w:val="20"/>
        </w:rPr>
        <w:t xml:space="preserve">The </w:t>
      </w:r>
      <w:r>
        <w:rPr>
          <w:rFonts w:ascii="Arial" w:hAnsi="Arial"/>
          <w:bCs/>
          <w:sz w:val="20"/>
          <w:szCs w:val="20"/>
        </w:rPr>
        <w:t>Office of the Municipal Manager as a department comprises of the following directorates:</w:t>
      </w:r>
      <w:bookmarkEnd w:id="99"/>
      <w:bookmarkEnd w:id="100"/>
      <w:bookmarkEnd w:id="101"/>
      <w:bookmarkEnd w:id="102"/>
      <w:bookmarkEnd w:id="103"/>
      <w:bookmarkEnd w:id="104"/>
      <w:bookmarkEnd w:id="105"/>
      <w:bookmarkEnd w:id="106"/>
      <w:bookmarkEnd w:id="107"/>
    </w:p>
    <w:p w14:paraId="0AF23503" w14:textId="69966287" w:rsidR="00EC44F6" w:rsidRDefault="00EC44F6" w:rsidP="00CC2032">
      <w:pPr>
        <w:pStyle w:val="ListParagraph"/>
        <w:numPr>
          <w:ilvl w:val="0"/>
          <w:numId w:val="2"/>
        </w:numPr>
        <w:outlineLvl w:val="0"/>
        <w:rPr>
          <w:rFonts w:ascii="Arial" w:hAnsi="Arial"/>
          <w:bCs/>
          <w:sz w:val="20"/>
          <w:szCs w:val="20"/>
        </w:rPr>
      </w:pPr>
      <w:bookmarkStart w:id="108" w:name="_Toc30172851"/>
      <w:bookmarkStart w:id="109" w:name="_Toc30173027"/>
      <w:bookmarkStart w:id="110" w:name="_Toc30173630"/>
      <w:bookmarkStart w:id="111" w:name="_Toc30173854"/>
      <w:bookmarkStart w:id="112" w:name="_Toc30173962"/>
      <w:bookmarkStart w:id="113" w:name="_Toc30174071"/>
      <w:bookmarkStart w:id="114" w:name="_Toc30174174"/>
      <w:bookmarkStart w:id="115" w:name="_Toc30174246"/>
      <w:bookmarkStart w:id="116" w:name="_Toc61962833"/>
      <w:r>
        <w:rPr>
          <w:rFonts w:ascii="Arial" w:hAnsi="Arial"/>
          <w:bCs/>
          <w:sz w:val="20"/>
          <w:szCs w:val="20"/>
        </w:rPr>
        <w:t xml:space="preserve">Strategic Support Services </w:t>
      </w:r>
      <w:r w:rsidR="00110FD8">
        <w:rPr>
          <w:rFonts w:ascii="Arial" w:hAnsi="Arial"/>
          <w:bCs/>
          <w:sz w:val="20"/>
          <w:szCs w:val="20"/>
        </w:rPr>
        <w:t>(IDP&amp; PMS)</w:t>
      </w:r>
      <w:bookmarkEnd w:id="108"/>
      <w:bookmarkEnd w:id="109"/>
      <w:bookmarkEnd w:id="110"/>
      <w:bookmarkEnd w:id="111"/>
      <w:bookmarkEnd w:id="112"/>
      <w:bookmarkEnd w:id="113"/>
      <w:bookmarkEnd w:id="114"/>
      <w:bookmarkEnd w:id="115"/>
      <w:bookmarkEnd w:id="116"/>
    </w:p>
    <w:p w14:paraId="494EB613" w14:textId="12EC0DFD" w:rsidR="00110FD8" w:rsidRDefault="00110FD8" w:rsidP="00CC2032">
      <w:pPr>
        <w:pStyle w:val="ListParagraph"/>
        <w:numPr>
          <w:ilvl w:val="0"/>
          <w:numId w:val="2"/>
        </w:numPr>
        <w:outlineLvl w:val="0"/>
        <w:rPr>
          <w:rFonts w:ascii="Arial" w:hAnsi="Arial"/>
          <w:bCs/>
          <w:sz w:val="20"/>
          <w:szCs w:val="20"/>
        </w:rPr>
      </w:pPr>
      <w:bookmarkStart w:id="117" w:name="_Toc30172852"/>
      <w:bookmarkStart w:id="118" w:name="_Toc30173028"/>
      <w:bookmarkStart w:id="119" w:name="_Toc30173631"/>
      <w:bookmarkStart w:id="120" w:name="_Toc30173855"/>
      <w:bookmarkStart w:id="121" w:name="_Toc30173963"/>
      <w:bookmarkStart w:id="122" w:name="_Toc30174072"/>
      <w:bookmarkStart w:id="123" w:name="_Toc30174175"/>
      <w:bookmarkStart w:id="124" w:name="_Toc30174247"/>
      <w:bookmarkStart w:id="125" w:name="_Toc61962834"/>
      <w:r>
        <w:rPr>
          <w:rFonts w:ascii="Arial" w:hAnsi="Arial"/>
          <w:bCs/>
          <w:sz w:val="20"/>
          <w:szCs w:val="20"/>
        </w:rPr>
        <w:lastRenderedPageBreak/>
        <w:t>Communications</w:t>
      </w:r>
      <w:bookmarkEnd w:id="117"/>
      <w:bookmarkEnd w:id="118"/>
      <w:bookmarkEnd w:id="119"/>
      <w:bookmarkEnd w:id="120"/>
      <w:bookmarkEnd w:id="121"/>
      <w:bookmarkEnd w:id="122"/>
      <w:bookmarkEnd w:id="123"/>
      <w:bookmarkEnd w:id="124"/>
      <w:bookmarkEnd w:id="125"/>
    </w:p>
    <w:p w14:paraId="04E15C4F" w14:textId="0F24058D" w:rsidR="00110FD8" w:rsidRDefault="00110FD8" w:rsidP="00CC2032">
      <w:pPr>
        <w:pStyle w:val="ListParagraph"/>
        <w:numPr>
          <w:ilvl w:val="0"/>
          <w:numId w:val="2"/>
        </w:numPr>
        <w:outlineLvl w:val="0"/>
        <w:rPr>
          <w:rFonts w:ascii="Arial" w:hAnsi="Arial"/>
          <w:bCs/>
          <w:sz w:val="20"/>
          <w:szCs w:val="20"/>
        </w:rPr>
      </w:pPr>
      <w:bookmarkStart w:id="126" w:name="_Toc30172853"/>
      <w:bookmarkStart w:id="127" w:name="_Toc30173029"/>
      <w:bookmarkStart w:id="128" w:name="_Toc30173632"/>
      <w:bookmarkStart w:id="129" w:name="_Toc30173856"/>
      <w:bookmarkStart w:id="130" w:name="_Toc30173964"/>
      <w:bookmarkStart w:id="131" w:name="_Toc30174073"/>
      <w:bookmarkStart w:id="132" w:name="_Toc30174176"/>
      <w:bookmarkStart w:id="133" w:name="_Toc30174248"/>
      <w:bookmarkStart w:id="134" w:name="_Toc61962835"/>
      <w:r>
        <w:rPr>
          <w:rFonts w:ascii="Arial" w:hAnsi="Arial"/>
          <w:bCs/>
          <w:sz w:val="20"/>
          <w:szCs w:val="20"/>
        </w:rPr>
        <w:t>Public Participation</w:t>
      </w:r>
      <w:bookmarkEnd w:id="126"/>
      <w:bookmarkEnd w:id="127"/>
      <w:bookmarkEnd w:id="128"/>
      <w:bookmarkEnd w:id="129"/>
      <w:bookmarkEnd w:id="130"/>
      <w:bookmarkEnd w:id="131"/>
      <w:bookmarkEnd w:id="132"/>
      <w:bookmarkEnd w:id="133"/>
      <w:bookmarkEnd w:id="134"/>
    </w:p>
    <w:p w14:paraId="73F5B4C2" w14:textId="1209D95D" w:rsidR="00110FD8" w:rsidRDefault="00110FD8" w:rsidP="00CC2032">
      <w:pPr>
        <w:pStyle w:val="ListParagraph"/>
        <w:numPr>
          <w:ilvl w:val="0"/>
          <w:numId w:val="2"/>
        </w:numPr>
        <w:outlineLvl w:val="0"/>
        <w:rPr>
          <w:rFonts w:ascii="Arial" w:hAnsi="Arial"/>
          <w:bCs/>
          <w:sz w:val="20"/>
          <w:szCs w:val="20"/>
        </w:rPr>
      </w:pPr>
      <w:bookmarkStart w:id="135" w:name="_Toc30172854"/>
      <w:bookmarkStart w:id="136" w:name="_Toc30173030"/>
      <w:bookmarkStart w:id="137" w:name="_Toc30173633"/>
      <w:bookmarkStart w:id="138" w:name="_Toc30173857"/>
      <w:bookmarkStart w:id="139" w:name="_Toc30173965"/>
      <w:bookmarkStart w:id="140" w:name="_Toc30174074"/>
      <w:bookmarkStart w:id="141" w:name="_Toc30174177"/>
      <w:bookmarkStart w:id="142" w:name="_Toc30174249"/>
      <w:bookmarkStart w:id="143" w:name="_Toc61962836"/>
      <w:r>
        <w:rPr>
          <w:rFonts w:ascii="Arial" w:hAnsi="Arial"/>
          <w:bCs/>
          <w:sz w:val="20"/>
          <w:szCs w:val="20"/>
        </w:rPr>
        <w:t>Internal Audit &amp; Risk Management</w:t>
      </w:r>
      <w:bookmarkEnd w:id="135"/>
      <w:bookmarkEnd w:id="136"/>
      <w:bookmarkEnd w:id="137"/>
      <w:bookmarkEnd w:id="138"/>
      <w:bookmarkEnd w:id="139"/>
      <w:bookmarkEnd w:id="140"/>
      <w:bookmarkEnd w:id="141"/>
      <w:bookmarkEnd w:id="142"/>
      <w:bookmarkEnd w:id="143"/>
    </w:p>
    <w:p w14:paraId="1EE48E98" w14:textId="111B9875" w:rsidR="00110FD8" w:rsidRDefault="00110FD8" w:rsidP="00CC2032">
      <w:pPr>
        <w:pStyle w:val="ListParagraph"/>
        <w:numPr>
          <w:ilvl w:val="0"/>
          <w:numId w:val="2"/>
        </w:numPr>
        <w:outlineLvl w:val="0"/>
        <w:rPr>
          <w:rFonts w:ascii="Arial" w:hAnsi="Arial"/>
          <w:bCs/>
          <w:sz w:val="20"/>
          <w:szCs w:val="20"/>
        </w:rPr>
      </w:pPr>
      <w:bookmarkStart w:id="144" w:name="_Toc30172855"/>
      <w:bookmarkStart w:id="145" w:name="_Toc30173031"/>
      <w:bookmarkStart w:id="146" w:name="_Toc30173634"/>
      <w:bookmarkStart w:id="147" w:name="_Toc30173858"/>
      <w:bookmarkStart w:id="148" w:name="_Toc30173966"/>
      <w:bookmarkStart w:id="149" w:name="_Toc30174075"/>
      <w:bookmarkStart w:id="150" w:name="_Toc30174178"/>
      <w:bookmarkStart w:id="151" w:name="_Toc30174250"/>
      <w:bookmarkStart w:id="152" w:name="_Toc61962837"/>
      <w:r>
        <w:rPr>
          <w:rFonts w:ascii="Arial" w:hAnsi="Arial"/>
          <w:bCs/>
          <w:sz w:val="20"/>
          <w:szCs w:val="20"/>
        </w:rPr>
        <w:t>Development and Town Planning</w:t>
      </w:r>
      <w:bookmarkEnd w:id="144"/>
      <w:bookmarkEnd w:id="145"/>
      <w:bookmarkEnd w:id="146"/>
      <w:bookmarkEnd w:id="147"/>
      <w:bookmarkEnd w:id="148"/>
      <w:bookmarkEnd w:id="149"/>
      <w:bookmarkEnd w:id="150"/>
      <w:bookmarkEnd w:id="151"/>
      <w:bookmarkEnd w:id="152"/>
      <w:r>
        <w:rPr>
          <w:rFonts w:ascii="Arial" w:hAnsi="Arial"/>
          <w:bCs/>
          <w:sz w:val="20"/>
          <w:szCs w:val="20"/>
        </w:rPr>
        <w:t xml:space="preserve"> </w:t>
      </w:r>
    </w:p>
    <w:p w14:paraId="2DD956D0" w14:textId="77777777" w:rsidR="00110FD8" w:rsidRDefault="00110FD8" w:rsidP="00110FD8">
      <w:pPr>
        <w:spacing w:after="0" w:line="240" w:lineRule="auto"/>
        <w:ind w:left="360"/>
        <w:outlineLvl w:val="1"/>
        <w:rPr>
          <w:rFonts w:ascii="Arial" w:hAnsi="Arial" w:cs="Arial"/>
          <w:color w:val="000000" w:themeColor="text1"/>
          <w:sz w:val="20"/>
          <w:szCs w:val="20"/>
        </w:rPr>
      </w:pPr>
      <w:bookmarkStart w:id="153" w:name="_Toc30172856"/>
      <w:bookmarkStart w:id="154" w:name="_Toc30173032"/>
      <w:bookmarkStart w:id="155" w:name="_Toc30173635"/>
      <w:bookmarkStart w:id="156" w:name="_Toc30173859"/>
      <w:bookmarkStart w:id="157" w:name="_Toc30173967"/>
      <w:bookmarkStart w:id="158" w:name="_Toc30174076"/>
      <w:bookmarkStart w:id="159" w:name="_Toc30174179"/>
      <w:bookmarkStart w:id="160" w:name="_Toc30174251"/>
      <w:bookmarkStart w:id="161" w:name="_Toc61962838"/>
      <w:r>
        <w:rPr>
          <w:rFonts w:ascii="Arial" w:hAnsi="Arial" w:cs="Arial"/>
          <w:color w:val="000000" w:themeColor="text1"/>
          <w:sz w:val="20"/>
          <w:szCs w:val="20"/>
        </w:rPr>
        <w:t>This office is r</w:t>
      </w:r>
      <w:r w:rsidRPr="00110FD8">
        <w:rPr>
          <w:rFonts w:ascii="Arial" w:hAnsi="Arial" w:cs="Arial"/>
          <w:color w:val="000000" w:themeColor="text1"/>
          <w:sz w:val="20"/>
          <w:szCs w:val="20"/>
        </w:rPr>
        <w:t>esponsible for the</w:t>
      </w:r>
      <w:r>
        <w:rPr>
          <w:rFonts w:ascii="Arial" w:hAnsi="Arial" w:cs="Arial"/>
          <w:color w:val="000000" w:themeColor="text1"/>
          <w:sz w:val="20"/>
          <w:szCs w:val="20"/>
        </w:rPr>
        <w:t xml:space="preserve"> following functions within the organisation:</w:t>
      </w:r>
      <w:bookmarkEnd w:id="153"/>
      <w:bookmarkEnd w:id="154"/>
      <w:bookmarkEnd w:id="155"/>
      <w:bookmarkEnd w:id="156"/>
      <w:bookmarkEnd w:id="157"/>
      <w:bookmarkEnd w:id="158"/>
      <w:bookmarkEnd w:id="159"/>
      <w:bookmarkEnd w:id="160"/>
      <w:bookmarkEnd w:id="161"/>
    </w:p>
    <w:p w14:paraId="202021EC" w14:textId="77777777" w:rsidR="00110FD8" w:rsidRDefault="00110FD8" w:rsidP="00110FD8">
      <w:pPr>
        <w:spacing w:after="0" w:line="240" w:lineRule="auto"/>
        <w:ind w:left="360"/>
        <w:outlineLvl w:val="1"/>
        <w:rPr>
          <w:rFonts w:ascii="Arial" w:hAnsi="Arial" w:cs="Arial"/>
          <w:color w:val="000000" w:themeColor="text1"/>
          <w:sz w:val="20"/>
          <w:szCs w:val="20"/>
        </w:rPr>
      </w:pPr>
    </w:p>
    <w:p w14:paraId="5683DCBE" w14:textId="4560A4C5" w:rsidR="00110FD8" w:rsidRPr="009A5A10" w:rsidRDefault="00110FD8" w:rsidP="009A5A10">
      <w:pPr>
        <w:pStyle w:val="ListParagraph"/>
        <w:numPr>
          <w:ilvl w:val="0"/>
          <w:numId w:val="6"/>
        </w:numPr>
        <w:spacing w:after="0" w:line="240" w:lineRule="auto"/>
        <w:jc w:val="both"/>
        <w:outlineLvl w:val="1"/>
        <w:rPr>
          <w:rFonts w:ascii="Arial" w:hAnsi="Arial" w:cs="Arial"/>
          <w:color w:val="000000" w:themeColor="text1"/>
          <w:sz w:val="20"/>
          <w:szCs w:val="20"/>
        </w:rPr>
      </w:pPr>
      <w:bookmarkStart w:id="162" w:name="_Toc30172857"/>
      <w:bookmarkStart w:id="163" w:name="_Toc30173033"/>
      <w:bookmarkStart w:id="164" w:name="_Toc30173636"/>
      <w:bookmarkStart w:id="165" w:name="_Toc30173860"/>
      <w:bookmarkStart w:id="166" w:name="_Toc30173968"/>
      <w:bookmarkStart w:id="167" w:name="_Toc30174077"/>
      <w:bookmarkStart w:id="168" w:name="_Toc30174180"/>
      <w:bookmarkStart w:id="169" w:name="_Toc30174252"/>
      <w:bookmarkStart w:id="170" w:name="_Toc61962839"/>
      <w:r w:rsidRPr="009A5A10">
        <w:rPr>
          <w:rFonts w:ascii="Arial" w:hAnsi="Arial" w:cs="Arial"/>
          <w:color w:val="000000" w:themeColor="text1"/>
          <w:sz w:val="20"/>
          <w:szCs w:val="20"/>
        </w:rPr>
        <w:t>Establishment and maintenance of a strategic management system for the municipality as a   whole to ensure the achievement of the municipality`s strategic objectives and its developmental and service delivery obligations. Responsible and accountable for the formation and development of an economical, efficient and accountable administration as head of the administration to ensure that the objectives of sound governance principles (as depicted in the Constitution of the RSA and compliant with section 51 of the Systems Act, 32/2000) be achieved.</w:t>
      </w:r>
      <w:bookmarkEnd w:id="162"/>
      <w:bookmarkEnd w:id="163"/>
      <w:bookmarkEnd w:id="164"/>
      <w:bookmarkEnd w:id="165"/>
      <w:bookmarkEnd w:id="166"/>
      <w:bookmarkEnd w:id="167"/>
      <w:bookmarkEnd w:id="168"/>
      <w:bookmarkEnd w:id="169"/>
      <w:bookmarkEnd w:id="170"/>
    </w:p>
    <w:p w14:paraId="1BB83B1E" w14:textId="0938E551" w:rsidR="00110FD8" w:rsidRPr="00110FD8" w:rsidRDefault="00110FD8" w:rsidP="00110FD8">
      <w:pPr>
        <w:spacing w:after="0" w:line="240" w:lineRule="auto"/>
        <w:ind w:left="360" w:firstLine="60"/>
        <w:jc w:val="both"/>
        <w:rPr>
          <w:rFonts w:ascii="Arial" w:hAnsi="Arial" w:cs="Arial"/>
          <w:color w:val="000000" w:themeColor="text1"/>
          <w:sz w:val="20"/>
          <w:szCs w:val="20"/>
        </w:rPr>
      </w:pPr>
    </w:p>
    <w:p w14:paraId="592273C7" w14:textId="590E0FBA" w:rsidR="00110FD8" w:rsidRPr="009A5A10" w:rsidRDefault="00110FD8" w:rsidP="009A5A10">
      <w:pPr>
        <w:pStyle w:val="ListParagraph"/>
        <w:numPr>
          <w:ilvl w:val="0"/>
          <w:numId w:val="6"/>
        </w:numPr>
        <w:spacing w:after="0" w:line="240" w:lineRule="auto"/>
        <w:jc w:val="both"/>
        <w:outlineLvl w:val="1"/>
        <w:rPr>
          <w:rFonts w:ascii="Arial" w:hAnsi="Arial" w:cs="Arial"/>
          <w:color w:val="000000" w:themeColor="text1"/>
          <w:sz w:val="20"/>
          <w:szCs w:val="20"/>
        </w:rPr>
      </w:pPr>
      <w:bookmarkStart w:id="171" w:name="_Toc30172858"/>
      <w:bookmarkStart w:id="172" w:name="_Toc30173034"/>
      <w:bookmarkStart w:id="173" w:name="_Toc30173637"/>
      <w:bookmarkStart w:id="174" w:name="_Toc30173861"/>
      <w:bookmarkStart w:id="175" w:name="_Toc30173969"/>
      <w:bookmarkStart w:id="176" w:name="_Toc30174078"/>
      <w:bookmarkStart w:id="177" w:name="_Toc30174181"/>
      <w:bookmarkStart w:id="178" w:name="_Toc30174253"/>
      <w:bookmarkStart w:id="179" w:name="_Toc61962840"/>
      <w:r w:rsidRPr="009A5A10">
        <w:rPr>
          <w:rFonts w:ascii="Arial" w:hAnsi="Arial" w:cs="Arial"/>
          <w:color w:val="000000" w:themeColor="text1"/>
          <w:sz w:val="20"/>
          <w:szCs w:val="20"/>
        </w:rPr>
        <w:t>Oversee the implementation and maintenance of the municipality’s integrated development plan (IDP) to ensure the proper execution of the IDP Strategic management of the effective and efficient provision of services to the local community to ensure that services are delivered in a sustainable and equitable manner.</w:t>
      </w:r>
      <w:bookmarkEnd w:id="171"/>
      <w:bookmarkEnd w:id="172"/>
      <w:bookmarkEnd w:id="173"/>
      <w:bookmarkEnd w:id="174"/>
      <w:bookmarkEnd w:id="175"/>
      <w:bookmarkEnd w:id="176"/>
      <w:bookmarkEnd w:id="177"/>
      <w:bookmarkEnd w:id="178"/>
      <w:bookmarkEnd w:id="179"/>
    </w:p>
    <w:p w14:paraId="19C07BAD" w14:textId="3E6AE6EF" w:rsidR="00110FD8" w:rsidRPr="00110FD8" w:rsidRDefault="00110FD8" w:rsidP="00110FD8">
      <w:pPr>
        <w:pStyle w:val="ListParagraph"/>
        <w:spacing w:after="0" w:line="240" w:lineRule="auto"/>
        <w:ind w:firstLine="60"/>
        <w:jc w:val="both"/>
        <w:rPr>
          <w:rFonts w:ascii="Arial" w:hAnsi="Arial" w:cs="Arial"/>
          <w:color w:val="000000" w:themeColor="text1"/>
          <w:sz w:val="20"/>
          <w:szCs w:val="20"/>
        </w:rPr>
      </w:pPr>
    </w:p>
    <w:p w14:paraId="25E3C262" w14:textId="279E0517" w:rsidR="00110FD8" w:rsidRPr="009A5A10" w:rsidRDefault="00110FD8" w:rsidP="009A5A10">
      <w:pPr>
        <w:pStyle w:val="ListParagraph"/>
        <w:numPr>
          <w:ilvl w:val="0"/>
          <w:numId w:val="6"/>
        </w:numPr>
        <w:spacing w:after="0" w:line="240" w:lineRule="auto"/>
        <w:jc w:val="both"/>
        <w:outlineLvl w:val="1"/>
        <w:rPr>
          <w:rFonts w:ascii="Arial" w:hAnsi="Arial" w:cs="Arial"/>
          <w:color w:val="000000" w:themeColor="text1"/>
          <w:sz w:val="20"/>
          <w:szCs w:val="20"/>
        </w:rPr>
      </w:pPr>
      <w:bookmarkStart w:id="180" w:name="_Toc30172859"/>
      <w:bookmarkStart w:id="181" w:name="_Toc30173035"/>
      <w:bookmarkStart w:id="182" w:name="_Toc30173638"/>
      <w:bookmarkStart w:id="183" w:name="_Toc30173862"/>
      <w:bookmarkStart w:id="184" w:name="_Toc30173970"/>
      <w:bookmarkStart w:id="185" w:name="_Toc30174079"/>
      <w:bookmarkStart w:id="186" w:name="_Toc30174182"/>
      <w:bookmarkStart w:id="187" w:name="_Toc30174254"/>
      <w:bookmarkStart w:id="188" w:name="_Toc61962841"/>
      <w:r w:rsidRPr="009A5A10">
        <w:rPr>
          <w:rFonts w:ascii="Arial" w:hAnsi="Arial" w:cs="Arial"/>
          <w:color w:val="000000" w:themeColor="text1"/>
          <w:sz w:val="20"/>
          <w:szCs w:val="20"/>
        </w:rPr>
        <w:t>Responsible and accountable for various financial management duties as Accounting Officer of the Municipality in terms of the Municipal Finance Management Act (56/2003), to ensure accountability of the Municipality`s finance. Develop and monitor policies at the strategic management level to ensure its purposefulness and efficiency.</w:t>
      </w:r>
      <w:bookmarkEnd w:id="180"/>
      <w:bookmarkEnd w:id="181"/>
      <w:bookmarkEnd w:id="182"/>
      <w:bookmarkEnd w:id="183"/>
      <w:bookmarkEnd w:id="184"/>
      <w:bookmarkEnd w:id="185"/>
      <w:bookmarkEnd w:id="186"/>
      <w:bookmarkEnd w:id="187"/>
      <w:bookmarkEnd w:id="188"/>
    </w:p>
    <w:p w14:paraId="02804990" w14:textId="602D6E7E" w:rsidR="00110FD8" w:rsidRPr="009A5A10" w:rsidRDefault="00110FD8" w:rsidP="009A5A10">
      <w:pPr>
        <w:pStyle w:val="ListParagraph"/>
        <w:numPr>
          <w:ilvl w:val="0"/>
          <w:numId w:val="6"/>
        </w:numPr>
        <w:jc w:val="both"/>
        <w:outlineLvl w:val="0"/>
        <w:rPr>
          <w:rFonts w:ascii="Arial" w:hAnsi="Arial"/>
          <w:bCs/>
          <w:sz w:val="20"/>
          <w:szCs w:val="20"/>
        </w:rPr>
      </w:pPr>
      <w:bookmarkStart w:id="189" w:name="_Toc30172860"/>
      <w:bookmarkStart w:id="190" w:name="_Toc30173036"/>
      <w:bookmarkStart w:id="191" w:name="_Toc30173639"/>
      <w:bookmarkStart w:id="192" w:name="_Toc30173863"/>
      <w:bookmarkStart w:id="193" w:name="_Toc30173971"/>
      <w:bookmarkStart w:id="194" w:name="_Toc30174080"/>
      <w:bookmarkStart w:id="195" w:name="_Toc30174183"/>
      <w:bookmarkStart w:id="196" w:name="_Toc30174255"/>
      <w:bookmarkStart w:id="197" w:name="_Toc61962842"/>
      <w:r w:rsidRPr="009A5A10">
        <w:rPr>
          <w:rFonts w:ascii="Arial" w:hAnsi="Arial"/>
          <w:bCs/>
          <w:sz w:val="20"/>
          <w:szCs w:val="20"/>
        </w:rPr>
        <w:t xml:space="preserve">The office is also tasked with a responsibility of developing a service delivery and budget implementation plan (SDBIP) which serves as a monitoring and evaluation tool in assessing whether planned targets and indicators as set in each Senior Manager’s scorecard have been achieved or not. </w:t>
      </w:r>
      <w:r w:rsidR="009A5A10">
        <w:rPr>
          <w:rFonts w:ascii="Arial" w:hAnsi="Arial"/>
          <w:bCs/>
          <w:sz w:val="20"/>
          <w:szCs w:val="20"/>
        </w:rPr>
        <w:t xml:space="preserve">The department has 17 targets for the </w:t>
      </w:r>
      <w:r w:rsidR="00233DBE">
        <w:rPr>
          <w:rFonts w:ascii="Arial" w:hAnsi="Arial"/>
          <w:bCs/>
          <w:sz w:val="20"/>
          <w:szCs w:val="20"/>
        </w:rPr>
        <w:t>whole financial year but only 12</w:t>
      </w:r>
      <w:r w:rsidR="009A5A10">
        <w:rPr>
          <w:rFonts w:ascii="Arial" w:hAnsi="Arial"/>
          <w:bCs/>
          <w:sz w:val="20"/>
          <w:szCs w:val="20"/>
        </w:rPr>
        <w:t xml:space="preserve"> are applicable in quarter 2. The table below indicate the number of targets achieved or not achieved as at the end of</w:t>
      </w:r>
      <w:r w:rsidR="00233DBE">
        <w:rPr>
          <w:rFonts w:ascii="Arial" w:hAnsi="Arial"/>
          <w:bCs/>
          <w:sz w:val="20"/>
          <w:szCs w:val="20"/>
        </w:rPr>
        <w:t xml:space="preserve"> quarter 2 i.e. 31 December 2020</w:t>
      </w:r>
      <w:r w:rsidR="009A5A10">
        <w:rPr>
          <w:rFonts w:ascii="Arial" w:hAnsi="Arial"/>
          <w:bCs/>
          <w:sz w:val="20"/>
          <w:szCs w:val="20"/>
        </w:rPr>
        <w:t xml:space="preserve"> and the overall performance in terms of percentages.</w:t>
      </w:r>
      <w:bookmarkEnd w:id="189"/>
      <w:bookmarkEnd w:id="190"/>
      <w:bookmarkEnd w:id="191"/>
      <w:bookmarkEnd w:id="192"/>
      <w:bookmarkEnd w:id="193"/>
      <w:bookmarkEnd w:id="194"/>
      <w:bookmarkEnd w:id="195"/>
      <w:bookmarkEnd w:id="196"/>
      <w:bookmarkEnd w:id="197"/>
      <w:r w:rsidR="009A5A10">
        <w:rPr>
          <w:rFonts w:ascii="Arial" w:hAnsi="Arial"/>
          <w:bCs/>
          <w:sz w:val="20"/>
          <w:szCs w:val="20"/>
        </w:rPr>
        <w:t xml:space="preserve"> </w:t>
      </w:r>
    </w:p>
    <w:p w14:paraId="2A152463" w14:textId="77777777" w:rsidR="00034798" w:rsidRDefault="00034798" w:rsidP="00034798">
      <w:pPr>
        <w:pStyle w:val="ListParagraph"/>
        <w:ind w:left="426"/>
        <w:rPr>
          <w:rFonts w:ascii="Arial" w:hAnsi="Arial"/>
          <w:b/>
          <w:sz w:val="20"/>
          <w:szCs w:val="20"/>
        </w:rPr>
      </w:pPr>
    </w:p>
    <w:p w14:paraId="206292F3" w14:textId="77777777" w:rsidR="002A7398" w:rsidRDefault="001F73CB" w:rsidP="00233DBE">
      <w:pPr>
        <w:pStyle w:val="ListParagraph"/>
        <w:spacing w:after="200" w:line="276" w:lineRule="auto"/>
        <w:rPr>
          <w:rFonts w:ascii="Arial" w:hAnsi="Arial" w:cs="Arial"/>
          <w:b/>
          <w:sz w:val="20"/>
          <w:szCs w:val="20"/>
        </w:rPr>
      </w:pPr>
      <w:r w:rsidRPr="001F73CB">
        <w:rPr>
          <w:rFonts w:ascii="Arial" w:hAnsi="Arial" w:cs="Arial"/>
          <w:b/>
          <w:sz w:val="20"/>
          <w:szCs w:val="20"/>
        </w:rPr>
        <w:t>OFFICE OF THE MUNICIPAL MANAGER</w:t>
      </w:r>
      <w:r>
        <w:rPr>
          <w:rFonts w:ascii="Arial" w:hAnsi="Arial" w:cs="Arial"/>
          <w:b/>
          <w:sz w:val="20"/>
          <w:szCs w:val="20"/>
        </w:rPr>
        <w:t xml:space="preserve">: </w:t>
      </w:r>
    </w:p>
    <w:p w14:paraId="52A68713" w14:textId="1E6E3CEF" w:rsidR="00233DBE" w:rsidRPr="001F73CB" w:rsidRDefault="001F73CB" w:rsidP="00233DBE">
      <w:pPr>
        <w:pStyle w:val="ListParagraph"/>
        <w:spacing w:after="200" w:line="276" w:lineRule="auto"/>
        <w:rPr>
          <w:rFonts w:ascii="Arial" w:hAnsi="Arial" w:cs="Arial"/>
          <w:b/>
          <w:sz w:val="20"/>
          <w:szCs w:val="20"/>
        </w:rPr>
      </w:pPr>
      <w:r>
        <w:rPr>
          <w:rFonts w:ascii="Arial" w:hAnsi="Arial" w:cs="Arial"/>
          <w:b/>
          <w:sz w:val="20"/>
          <w:szCs w:val="20"/>
        </w:rPr>
        <w:t>01 JULY</w:t>
      </w:r>
      <w:r w:rsidR="002A7398">
        <w:rPr>
          <w:rFonts w:ascii="Arial" w:hAnsi="Arial" w:cs="Arial"/>
          <w:b/>
          <w:sz w:val="20"/>
          <w:szCs w:val="20"/>
        </w:rPr>
        <w:t xml:space="preserve"> 2020</w:t>
      </w:r>
      <w:r>
        <w:rPr>
          <w:rFonts w:ascii="Arial" w:hAnsi="Arial" w:cs="Arial"/>
          <w:b/>
          <w:sz w:val="20"/>
          <w:szCs w:val="20"/>
        </w:rPr>
        <w:t>-</w:t>
      </w:r>
      <w:r w:rsidR="002A7398">
        <w:rPr>
          <w:rFonts w:ascii="Arial" w:hAnsi="Arial" w:cs="Arial"/>
          <w:b/>
          <w:sz w:val="20"/>
          <w:szCs w:val="20"/>
        </w:rPr>
        <w:t xml:space="preserve"> </w:t>
      </w:r>
      <w:r>
        <w:rPr>
          <w:rFonts w:ascii="Arial" w:hAnsi="Arial" w:cs="Arial"/>
          <w:b/>
          <w:sz w:val="20"/>
          <w:szCs w:val="20"/>
        </w:rPr>
        <w:t>31 DECEMBER 2020</w:t>
      </w:r>
    </w:p>
    <w:tbl>
      <w:tblPr>
        <w:tblpPr w:leftFromText="180" w:rightFromText="180" w:bottomFromText="160" w:vertAnchor="text" w:horzAnchor="page" w:tblpX="1840" w:tblpY="215"/>
        <w:tblW w:w="9016" w:type="dxa"/>
        <w:tblLook w:val="04A0" w:firstRow="1" w:lastRow="0" w:firstColumn="1" w:lastColumn="0" w:noHBand="0" w:noVBand="1"/>
      </w:tblPr>
      <w:tblGrid>
        <w:gridCol w:w="1719"/>
        <w:gridCol w:w="1765"/>
        <w:gridCol w:w="1641"/>
        <w:gridCol w:w="2070"/>
        <w:gridCol w:w="1821"/>
      </w:tblGrid>
      <w:tr w:rsidR="00AF0849" w:rsidRPr="00445427" w14:paraId="2D7EC0C0" w14:textId="3269D0CD" w:rsidTr="002A7398">
        <w:trPr>
          <w:trHeight w:val="558"/>
        </w:trPr>
        <w:tc>
          <w:tcPr>
            <w:tcW w:w="1719" w:type="dxa"/>
            <w:tcBorders>
              <w:top w:val="single" w:sz="4" w:space="0" w:color="auto"/>
              <w:left w:val="single" w:sz="4" w:space="0" w:color="auto"/>
              <w:bottom w:val="single" w:sz="4" w:space="0" w:color="auto"/>
              <w:right w:val="single" w:sz="4" w:space="0" w:color="auto"/>
            </w:tcBorders>
            <w:shd w:val="clear" w:color="auto" w:fill="C00000"/>
            <w:hideMark/>
          </w:tcPr>
          <w:p w14:paraId="5998B533" w14:textId="77777777" w:rsidR="002A7398" w:rsidRDefault="002A7398" w:rsidP="006B5512">
            <w:pPr>
              <w:rPr>
                <w:rFonts w:ascii="Arial" w:hAnsi="Arial" w:cs="Arial"/>
                <w:b/>
                <w:color w:val="FFFFFF"/>
                <w:sz w:val="20"/>
                <w:szCs w:val="20"/>
              </w:rPr>
            </w:pPr>
            <w:r>
              <w:rPr>
                <w:rFonts w:ascii="Arial" w:hAnsi="Arial" w:cs="Arial"/>
                <w:b/>
                <w:color w:val="FFFFFF"/>
                <w:sz w:val="20"/>
                <w:szCs w:val="20"/>
              </w:rPr>
              <w:t>Total no. of targets</w:t>
            </w:r>
          </w:p>
        </w:tc>
        <w:tc>
          <w:tcPr>
            <w:tcW w:w="1765" w:type="dxa"/>
            <w:tcBorders>
              <w:top w:val="single" w:sz="4" w:space="0" w:color="auto"/>
              <w:left w:val="nil"/>
              <w:bottom w:val="single" w:sz="4" w:space="0" w:color="auto"/>
              <w:right w:val="single" w:sz="4" w:space="0" w:color="auto"/>
            </w:tcBorders>
            <w:shd w:val="clear" w:color="auto" w:fill="C00000"/>
            <w:hideMark/>
          </w:tcPr>
          <w:p w14:paraId="526C4270" w14:textId="77777777" w:rsidR="002A7398" w:rsidRDefault="002A7398" w:rsidP="006B5512">
            <w:pPr>
              <w:rPr>
                <w:rFonts w:ascii="Arial" w:hAnsi="Arial" w:cs="Arial"/>
                <w:b/>
                <w:color w:val="FFFFFF"/>
                <w:sz w:val="20"/>
                <w:szCs w:val="20"/>
              </w:rPr>
            </w:pPr>
            <w:r>
              <w:rPr>
                <w:rFonts w:ascii="Arial" w:hAnsi="Arial" w:cs="Arial"/>
                <w:b/>
                <w:color w:val="FFFFFF"/>
                <w:sz w:val="20"/>
                <w:szCs w:val="20"/>
              </w:rPr>
              <w:t>Targets Achieved</w:t>
            </w:r>
          </w:p>
        </w:tc>
        <w:tc>
          <w:tcPr>
            <w:tcW w:w="1641" w:type="dxa"/>
            <w:tcBorders>
              <w:top w:val="single" w:sz="4" w:space="0" w:color="auto"/>
              <w:left w:val="nil"/>
              <w:bottom w:val="single" w:sz="4" w:space="0" w:color="auto"/>
              <w:right w:val="single" w:sz="4" w:space="0" w:color="auto"/>
            </w:tcBorders>
            <w:shd w:val="clear" w:color="auto" w:fill="C00000"/>
            <w:hideMark/>
          </w:tcPr>
          <w:p w14:paraId="1E3DA585" w14:textId="77777777" w:rsidR="002A7398" w:rsidRDefault="002A7398" w:rsidP="006B5512">
            <w:pPr>
              <w:rPr>
                <w:rFonts w:ascii="Arial" w:hAnsi="Arial" w:cs="Arial"/>
                <w:b/>
                <w:color w:val="FFFFFF"/>
                <w:sz w:val="20"/>
                <w:szCs w:val="20"/>
              </w:rPr>
            </w:pPr>
            <w:r>
              <w:rPr>
                <w:rFonts w:ascii="Arial" w:hAnsi="Arial" w:cs="Arial"/>
                <w:b/>
                <w:color w:val="FFFFFF"/>
                <w:sz w:val="20"/>
                <w:szCs w:val="20"/>
              </w:rPr>
              <w:t>Targets Not Achieved</w:t>
            </w:r>
          </w:p>
        </w:tc>
        <w:tc>
          <w:tcPr>
            <w:tcW w:w="2070" w:type="dxa"/>
            <w:tcBorders>
              <w:top w:val="single" w:sz="4" w:space="0" w:color="auto"/>
              <w:left w:val="nil"/>
              <w:bottom w:val="single" w:sz="4" w:space="0" w:color="auto"/>
              <w:right w:val="single" w:sz="4" w:space="0" w:color="auto"/>
            </w:tcBorders>
            <w:shd w:val="clear" w:color="auto" w:fill="C00000"/>
          </w:tcPr>
          <w:p w14:paraId="3E03A932" w14:textId="77777777" w:rsidR="002A7398" w:rsidRDefault="002A7398" w:rsidP="006B5512">
            <w:pPr>
              <w:rPr>
                <w:rFonts w:ascii="Arial" w:hAnsi="Arial" w:cs="Arial"/>
                <w:b/>
                <w:color w:val="FFFFFF"/>
                <w:sz w:val="20"/>
                <w:szCs w:val="20"/>
              </w:rPr>
            </w:pPr>
            <w:r>
              <w:rPr>
                <w:rFonts w:ascii="Arial" w:hAnsi="Arial" w:cs="Arial"/>
                <w:b/>
                <w:color w:val="FFFFFF"/>
                <w:sz w:val="20"/>
                <w:szCs w:val="20"/>
              </w:rPr>
              <w:t>Not applicable in the Q2</w:t>
            </w:r>
          </w:p>
        </w:tc>
        <w:tc>
          <w:tcPr>
            <w:tcW w:w="1821" w:type="dxa"/>
            <w:tcBorders>
              <w:top w:val="single" w:sz="4" w:space="0" w:color="auto"/>
              <w:left w:val="nil"/>
              <w:bottom w:val="single" w:sz="4" w:space="0" w:color="auto"/>
              <w:right w:val="single" w:sz="4" w:space="0" w:color="auto"/>
            </w:tcBorders>
            <w:shd w:val="clear" w:color="auto" w:fill="C00000"/>
          </w:tcPr>
          <w:p w14:paraId="207C2191" w14:textId="29A7F1DB" w:rsidR="002A7398" w:rsidRDefault="00AF0849" w:rsidP="006B5512">
            <w:pPr>
              <w:rPr>
                <w:rFonts w:ascii="Arial" w:hAnsi="Arial" w:cs="Arial"/>
                <w:b/>
                <w:color w:val="FFFFFF"/>
                <w:sz w:val="20"/>
                <w:szCs w:val="20"/>
              </w:rPr>
            </w:pPr>
            <w:r>
              <w:rPr>
                <w:rFonts w:ascii="Arial" w:hAnsi="Arial" w:cs="Arial"/>
                <w:b/>
                <w:color w:val="FFFFFF"/>
                <w:sz w:val="20"/>
                <w:szCs w:val="20"/>
              </w:rPr>
              <w:t xml:space="preserve">Q1 &amp; Q2 Consolidated </w:t>
            </w:r>
            <w:r w:rsidR="002A7398">
              <w:rPr>
                <w:rFonts w:ascii="Arial" w:hAnsi="Arial" w:cs="Arial"/>
                <w:b/>
                <w:color w:val="FFFFFF"/>
                <w:sz w:val="20"/>
                <w:szCs w:val="20"/>
              </w:rPr>
              <w:t>Performance at Mid-year</w:t>
            </w:r>
            <w:r w:rsidR="00582F14">
              <w:rPr>
                <w:rFonts w:ascii="Arial" w:hAnsi="Arial" w:cs="Arial"/>
                <w:b/>
                <w:color w:val="FFFFFF"/>
                <w:sz w:val="20"/>
                <w:szCs w:val="20"/>
              </w:rPr>
              <w:t>: 31 December 2020</w:t>
            </w:r>
          </w:p>
        </w:tc>
      </w:tr>
      <w:tr w:rsidR="00AF0849" w:rsidRPr="00445427" w14:paraId="586B2624" w14:textId="55206A07" w:rsidTr="002A7398">
        <w:trPr>
          <w:trHeight w:val="300"/>
        </w:trPr>
        <w:tc>
          <w:tcPr>
            <w:tcW w:w="1719" w:type="dxa"/>
            <w:tcBorders>
              <w:top w:val="single" w:sz="4" w:space="0" w:color="auto"/>
              <w:left w:val="single" w:sz="4" w:space="0" w:color="auto"/>
              <w:bottom w:val="single" w:sz="4" w:space="0" w:color="auto"/>
              <w:right w:val="single" w:sz="4" w:space="0" w:color="auto"/>
            </w:tcBorders>
            <w:hideMark/>
          </w:tcPr>
          <w:p w14:paraId="72B55A91"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17</w:t>
            </w:r>
          </w:p>
        </w:tc>
        <w:tc>
          <w:tcPr>
            <w:tcW w:w="1765" w:type="dxa"/>
            <w:tcBorders>
              <w:top w:val="single" w:sz="4" w:space="0" w:color="auto"/>
              <w:left w:val="nil"/>
              <w:bottom w:val="single" w:sz="4" w:space="0" w:color="auto"/>
              <w:right w:val="single" w:sz="4" w:space="0" w:color="auto"/>
            </w:tcBorders>
          </w:tcPr>
          <w:p w14:paraId="32605E31"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12</w:t>
            </w:r>
          </w:p>
        </w:tc>
        <w:tc>
          <w:tcPr>
            <w:tcW w:w="1641" w:type="dxa"/>
            <w:tcBorders>
              <w:top w:val="single" w:sz="4" w:space="0" w:color="auto"/>
              <w:left w:val="nil"/>
              <w:bottom w:val="single" w:sz="4" w:space="0" w:color="auto"/>
              <w:right w:val="single" w:sz="4" w:space="0" w:color="auto"/>
            </w:tcBorders>
          </w:tcPr>
          <w:p w14:paraId="360A5ED5"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02</w:t>
            </w:r>
          </w:p>
        </w:tc>
        <w:tc>
          <w:tcPr>
            <w:tcW w:w="2070" w:type="dxa"/>
            <w:tcBorders>
              <w:top w:val="single" w:sz="4" w:space="0" w:color="auto"/>
              <w:left w:val="nil"/>
              <w:bottom w:val="single" w:sz="4" w:space="0" w:color="auto"/>
              <w:right w:val="single" w:sz="4" w:space="0" w:color="auto"/>
            </w:tcBorders>
          </w:tcPr>
          <w:p w14:paraId="46E4F3D6"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03</w:t>
            </w:r>
          </w:p>
        </w:tc>
        <w:tc>
          <w:tcPr>
            <w:tcW w:w="1821" w:type="dxa"/>
            <w:tcBorders>
              <w:top w:val="single" w:sz="4" w:space="0" w:color="auto"/>
              <w:left w:val="nil"/>
              <w:bottom w:val="single" w:sz="4" w:space="0" w:color="auto"/>
              <w:right w:val="single" w:sz="4" w:space="0" w:color="auto"/>
            </w:tcBorders>
          </w:tcPr>
          <w:p w14:paraId="57906AC7" w14:textId="64FEE897" w:rsidR="002A7398" w:rsidRDefault="00A53FE6" w:rsidP="006B5512">
            <w:pPr>
              <w:jc w:val="right"/>
              <w:rPr>
                <w:rFonts w:ascii="Arial" w:hAnsi="Arial" w:cs="Arial"/>
                <w:b/>
                <w:color w:val="000000"/>
                <w:sz w:val="20"/>
                <w:szCs w:val="20"/>
              </w:rPr>
            </w:pPr>
            <w:r>
              <w:rPr>
                <w:rFonts w:ascii="Arial" w:hAnsi="Arial" w:cs="Arial"/>
                <w:b/>
                <w:color w:val="000000"/>
                <w:sz w:val="20"/>
                <w:szCs w:val="20"/>
              </w:rPr>
              <w:t>12</w:t>
            </w:r>
          </w:p>
        </w:tc>
      </w:tr>
      <w:tr w:rsidR="00AF0849" w:rsidRPr="00445427" w14:paraId="35B5D27A" w14:textId="5A5D4522" w:rsidTr="002A7398">
        <w:trPr>
          <w:trHeight w:val="344"/>
        </w:trPr>
        <w:tc>
          <w:tcPr>
            <w:tcW w:w="1719" w:type="dxa"/>
            <w:tcBorders>
              <w:top w:val="single" w:sz="4" w:space="0" w:color="auto"/>
              <w:left w:val="single" w:sz="4" w:space="0" w:color="auto"/>
              <w:bottom w:val="single" w:sz="4" w:space="0" w:color="auto"/>
              <w:right w:val="single" w:sz="4" w:space="0" w:color="auto"/>
            </w:tcBorders>
            <w:hideMark/>
          </w:tcPr>
          <w:p w14:paraId="21A32545" w14:textId="77777777" w:rsidR="002A7398" w:rsidRDefault="002A7398" w:rsidP="006B5512">
            <w:pPr>
              <w:rPr>
                <w:rFonts w:ascii="Arial" w:hAnsi="Arial" w:cs="Arial"/>
                <w:b/>
                <w:color w:val="000000"/>
                <w:sz w:val="20"/>
                <w:szCs w:val="20"/>
              </w:rPr>
            </w:pPr>
            <w:r>
              <w:rPr>
                <w:rFonts w:ascii="Arial" w:hAnsi="Arial" w:cs="Arial"/>
                <w:b/>
                <w:color w:val="000000"/>
                <w:sz w:val="20"/>
                <w:szCs w:val="20"/>
              </w:rPr>
              <w:t>Percentage achievement</w:t>
            </w:r>
          </w:p>
        </w:tc>
        <w:tc>
          <w:tcPr>
            <w:tcW w:w="1765" w:type="dxa"/>
            <w:tcBorders>
              <w:top w:val="single" w:sz="4" w:space="0" w:color="auto"/>
              <w:left w:val="nil"/>
              <w:bottom w:val="single" w:sz="4" w:space="0" w:color="auto"/>
              <w:right w:val="single" w:sz="4" w:space="0" w:color="auto"/>
            </w:tcBorders>
          </w:tcPr>
          <w:p w14:paraId="0AD99B04"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88.2%</w:t>
            </w:r>
          </w:p>
        </w:tc>
        <w:tc>
          <w:tcPr>
            <w:tcW w:w="1641" w:type="dxa"/>
            <w:tcBorders>
              <w:top w:val="single" w:sz="4" w:space="0" w:color="auto"/>
              <w:left w:val="nil"/>
              <w:bottom w:val="single" w:sz="4" w:space="0" w:color="auto"/>
              <w:right w:val="single" w:sz="4" w:space="0" w:color="auto"/>
            </w:tcBorders>
          </w:tcPr>
          <w:p w14:paraId="591C9EDA"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11.7%</w:t>
            </w:r>
          </w:p>
        </w:tc>
        <w:tc>
          <w:tcPr>
            <w:tcW w:w="2070" w:type="dxa"/>
            <w:tcBorders>
              <w:top w:val="single" w:sz="4" w:space="0" w:color="auto"/>
              <w:left w:val="nil"/>
              <w:bottom w:val="single" w:sz="4" w:space="0" w:color="auto"/>
              <w:right w:val="single" w:sz="4" w:space="0" w:color="auto"/>
            </w:tcBorders>
          </w:tcPr>
          <w:p w14:paraId="3A06E617" w14:textId="77777777" w:rsidR="002A7398" w:rsidRDefault="002A7398" w:rsidP="006B5512">
            <w:pPr>
              <w:jc w:val="right"/>
              <w:rPr>
                <w:rFonts w:ascii="Arial" w:hAnsi="Arial" w:cs="Arial"/>
                <w:b/>
                <w:color w:val="000000"/>
                <w:sz w:val="20"/>
                <w:szCs w:val="20"/>
              </w:rPr>
            </w:pPr>
            <w:r>
              <w:rPr>
                <w:rFonts w:ascii="Arial" w:hAnsi="Arial" w:cs="Arial"/>
                <w:b/>
                <w:color w:val="000000"/>
                <w:sz w:val="20"/>
                <w:szCs w:val="20"/>
              </w:rPr>
              <w:t>17.6%</w:t>
            </w:r>
          </w:p>
        </w:tc>
        <w:tc>
          <w:tcPr>
            <w:tcW w:w="1821" w:type="dxa"/>
            <w:tcBorders>
              <w:top w:val="single" w:sz="4" w:space="0" w:color="auto"/>
              <w:left w:val="nil"/>
              <w:bottom w:val="single" w:sz="4" w:space="0" w:color="auto"/>
              <w:right w:val="single" w:sz="4" w:space="0" w:color="auto"/>
            </w:tcBorders>
          </w:tcPr>
          <w:p w14:paraId="47321852" w14:textId="55C73DDB" w:rsidR="002A7398" w:rsidRDefault="00A53FE6" w:rsidP="006B5512">
            <w:pPr>
              <w:jc w:val="right"/>
              <w:rPr>
                <w:rFonts w:ascii="Arial" w:hAnsi="Arial" w:cs="Arial"/>
                <w:b/>
                <w:color w:val="000000"/>
                <w:sz w:val="20"/>
                <w:szCs w:val="20"/>
              </w:rPr>
            </w:pPr>
            <w:r>
              <w:rPr>
                <w:rFonts w:ascii="Arial" w:hAnsi="Arial" w:cs="Arial"/>
                <w:b/>
                <w:color w:val="000000"/>
                <w:sz w:val="20"/>
                <w:szCs w:val="20"/>
              </w:rPr>
              <w:t>80%</w:t>
            </w:r>
          </w:p>
        </w:tc>
      </w:tr>
    </w:tbl>
    <w:p w14:paraId="289743BB" w14:textId="389FF5B5" w:rsidR="00007523" w:rsidRPr="00307538" w:rsidRDefault="001B433B" w:rsidP="003F24AF">
      <w:pPr>
        <w:jc w:val="both"/>
        <w:rPr>
          <w:rFonts w:ascii="Arial" w:hAnsi="Arial" w:cs="Arial"/>
          <w:bCs/>
          <w:noProof/>
          <w:color w:val="000000" w:themeColor="text1"/>
          <w:sz w:val="20"/>
          <w:szCs w:val="20"/>
        </w:rPr>
      </w:pPr>
      <w:r w:rsidRPr="003F24AF">
        <w:rPr>
          <w:rFonts w:ascii="Arial" w:hAnsi="Arial" w:cs="Arial"/>
          <w:bCs/>
          <w:noProof/>
          <w:color w:val="000000" w:themeColor="text1"/>
          <w:sz w:val="20"/>
          <w:szCs w:val="20"/>
        </w:rPr>
        <w:t>It is worth- noting the huge improvement in terms of performance by the office of the Municipality as in Q1 its performance was 60% and therefore an improvement of 28.2%.</w:t>
      </w:r>
      <w:r w:rsidR="003F24AF">
        <w:rPr>
          <w:rFonts w:ascii="Arial" w:hAnsi="Arial" w:cs="Arial"/>
          <w:bCs/>
          <w:noProof/>
          <w:color w:val="000000" w:themeColor="text1"/>
          <w:sz w:val="20"/>
          <w:szCs w:val="20"/>
        </w:rPr>
        <w:t xml:space="preserve"> is worht reporting.</w:t>
      </w:r>
      <w:r w:rsidRPr="003F24AF">
        <w:rPr>
          <w:rFonts w:ascii="Arial" w:hAnsi="Arial" w:cs="Arial"/>
          <w:bCs/>
          <w:noProof/>
          <w:color w:val="000000" w:themeColor="text1"/>
          <w:sz w:val="20"/>
          <w:szCs w:val="20"/>
        </w:rPr>
        <w:t xml:space="preserve"> The table below details the two indicators/ targets that were not achieved by this department during Q2, reasons for not achieving the accumulative target and corrective measures thereof. </w:t>
      </w:r>
      <w:r w:rsidR="00A53FE6">
        <w:rPr>
          <w:rFonts w:ascii="Arial" w:hAnsi="Arial" w:cs="Arial"/>
          <w:bCs/>
          <w:noProof/>
          <w:color w:val="000000" w:themeColor="text1"/>
          <w:sz w:val="20"/>
          <w:szCs w:val="20"/>
        </w:rPr>
        <w:t>Two</w:t>
      </w:r>
      <w:r w:rsidR="003F24AF" w:rsidRPr="003F24AF">
        <w:rPr>
          <w:rFonts w:ascii="Arial" w:hAnsi="Arial" w:cs="Arial"/>
          <w:bCs/>
          <w:noProof/>
          <w:color w:val="000000" w:themeColor="text1"/>
          <w:sz w:val="20"/>
          <w:szCs w:val="20"/>
        </w:rPr>
        <w:t xml:space="preserve"> indicator</w:t>
      </w:r>
      <w:r w:rsidR="00A53FE6">
        <w:rPr>
          <w:rFonts w:ascii="Arial" w:hAnsi="Arial" w:cs="Arial"/>
          <w:bCs/>
          <w:noProof/>
          <w:color w:val="000000" w:themeColor="text1"/>
          <w:sz w:val="20"/>
          <w:szCs w:val="20"/>
        </w:rPr>
        <w:t xml:space="preserve">s i.e. OMM 8 </w:t>
      </w:r>
      <w:r w:rsidRPr="003F24AF">
        <w:rPr>
          <w:rFonts w:ascii="Arial" w:hAnsi="Arial" w:cs="Arial"/>
          <w:bCs/>
          <w:noProof/>
          <w:color w:val="000000" w:themeColor="text1"/>
          <w:sz w:val="20"/>
          <w:szCs w:val="20"/>
        </w:rPr>
        <w:t xml:space="preserve">exceeded target by 50% </w:t>
      </w:r>
      <w:r w:rsidR="00A53FE6">
        <w:rPr>
          <w:rFonts w:ascii="Arial" w:hAnsi="Arial" w:cs="Arial"/>
          <w:bCs/>
          <w:noProof/>
          <w:color w:val="000000" w:themeColor="text1"/>
          <w:sz w:val="20"/>
          <w:szCs w:val="20"/>
        </w:rPr>
        <w:t xml:space="preserve">in Q2 </w:t>
      </w:r>
      <w:r w:rsidRPr="003F24AF">
        <w:rPr>
          <w:rFonts w:ascii="Arial" w:hAnsi="Arial" w:cs="Arial"/>
          <w:bCs/>
          <w:noProof/>
          <w:color w:val="000000" w:themeColor="text1"/>
          <w:sz w:val="20"/>
          <w:szCs w:val="20"/>
        </w:rPr>
        <w:t>as the department had planned to publish 05 municipal programes in different social media platforms and at the end of the quarter 10 municipal programmes were published in different media platforms</w:t>
      </w:r>
      <w:r w:rsidR="00A53FE6">
        <w:rPr>
          <w:rFonts w:ascii="Arial" w:hAnsi="Arial" w:cs="Arial"/>
          <w:bCs/>
          <w:noProof/>
          <w:color w:val="000000" w:themeColor="text1"/>
          <w:sz w:val="20"/>
          <w:szCs w:val="20"/>
        </w:rPr>
        <w:t xml:space="preserve"> such as facebook and whatspapp and OMM 05</w:t>
      </w:r>
      <w:r w:rsidRPr="003F24AF">
        <w:rPr>
          <w:rFonts w:ascii="Arial" w:hAnsi="Arial" w:cs="Arial"/>
          <w:bCs/>
          <w:noProof/>
          <w:color w:val="000000" w:themeColor="text1"/>
          <w:sz w:val="20"/>
          <w:szCs w:val="20"/>
        </w:rPr>
        <w:t xml:space="preserve"> </w:t>
      </w:r>
      <w:r w:rsidR="00A53FE6">
        <w:rPr>
          <w:rFonts w:ascii="Arial" w:hAnsi="Arial" w:cs="Arial"/>
          <w:bCs/>
          <w:noProof/>
          <w:color w:val="000000" w:themeColor="text1"/>
          <w:sz w:val="20"/>
          <w:szCs w:val="20"/>
        </w:rPr>
        <w:t xml:space="preserve">whereby instead of 2 report the Internal Audit unit was able to submit 6 Audit reports to both Management and Audit Committee by 31 December 2020. </w:t>
      </w:r>
      <w:r w:rsidR="003F24AF" w:rsidRPr="003F24AF">
        <w:rPr>
          <w:rFonts w:ascii="Arial" w:hAnsi="Arial" w:cs="Arial"/>
          <w:bCs/>
          <w:noProof/>
          <w:color w:val="000000" w:themeColor="text1"/>
          <w:sz w:val="20"/>
          <w:szCs w:val="20"/>
        </w:rPr>
        <w:t>All other targets were achieved as per the SDBIP</w:t>
      </w:r>
      <w:r w:rsidR="003F24AF" w:rsidRPr="00307538">
        <w:rPr>
          <w:rFonts w:ascii="Arial" w:hAnsi="Arial" w:cs="Arial"/>
          <w:bCs/>
          <w:noProof/>
          <w:color w:val="000000" w:themeColor="text1"/>
          <w:sz w:val="20"/>
          <w:szCs w:val="20"/>
        </w:rPr>
        <w:t xml:space="preserve">.  </w:t>
      </w:r>
      <w:r w:rsidR="00B07F53" w:rsidRPr="00307538">
        <w:rPr>
          <w:rFonts w:ascii="Arial" w:hAnsi="Arial" w:cs="Arial"/>
          <w:bCs/>
          <w:noProof/>
          <w:color w:val="000000" w:themeColor="text1"/>
          <w:sz w:val="20"/>
          <w:szCs w:val="20"/>
        </w:rPr>
        <w:t>The Strategic Support Services Unit will again prepare a</w:t>
      </w:r>
      <w:r w:rsidR="003F24AF" w:rsidRPr="00307538">
        <w:rPr>
          <w:rFonts w:ascii="Arial" w:hAnsi="Arial" w:cs="Arial"/>
          <w:bCs/>
          <w:noProof/>
          <w:color w:val="000000" w:themeColor="text1"/>
          <w:sz w:val="20"/>
          <w:szCs w:val="20"/>
        </w:rPr>
        <w:t xml:space="preserve"> report containing progress on targets that were not achieved in Q1 of 2020/21. This is done to ensure monitoring of performance and to prevent underperformance which might lead </w:t>
      </w:r>
      <w:r w:rsidR="003F24AF" w:rsidRPr="00307538">
        <w:rPr>
          <w:rFonts w:ascii="Arial" w:hAnsi="Arial" w:cs="Arial"/>
          <w:bCs/>
          <w:noProof/>
          <w:color w:val="000000" w:themeColor="text1"/>
          <w:sz w:val="20"/>
          <w:szCs w:val="20"/>
        </w:rPr>
        <w:lastRenderedPageBreak/>
        <w:t xml:space="preserve">to </w:t>
      </w:r>
      <w:r w:rsidR="007A6C73" w:rsidRPr="00307538">
        <w:rPr>
          <w:rFonts w:ascii="Arial" w:hAnsi="Arial" w:cs="Arial"/>
          <w:bCs/>
          <w:noProof/>
          <w:color w:val="000000" w:themeColor="text1"/>
          <w:sz w:val="20"/>
          <w:szCs w:val="20"/>
        </w:rPr>
        <w:t xml:space="preserve">underexpenditure and poor service delivery, public protests and possible a negative audit oppinion by Auditor General. </w:t>
      </w:r>
      <w:r w:rsidR="00B07F53" w:rsidRPr="00307538">
        <w:rPr>
          <w:rFonts w:ascii="Arial" w:hAnsi="Arial" w:cs="Arial"/>
          <w:bCs/>
          <w:noProof/>
          <w:color w:val="000000" w:themeColor="text1"/>
          <w:sz w:val="20"/>
          <w:szCs w:val="20"/>
        </w:rPr>
        <w:t>The unit has planned togther with the Internal Audit Unit a site visit to all service delivery projects under Public Works and Basic Services to verify evidence and reports that were submitted by the department fo</w:t>
      </w:r>
      <w:r w:rsidR="00307538" w:rsidRPr="00307538">
        <w:rPr>
          <w:rFonts w:ascii="Arial" w:hAnsi="Arial" w:cs="Arial"/>
          <w:bCs/>
          <w:noProof/>
          <w:color w:val="000000" w:themeColor="text1"/>
          <w:sz w:val="20"/>
          <w:szCs w:val="20"/>
        </w:rPr>
        <w:t>r Q2 of 2020/21 this will assist in advising</w:t>
      </w:r>
      <w:r w:rsidR="00B07F53" w:rsidRPr="00307538">
        <w:rPr>
          <w:rFonts w:ascii="Arial" w:hAnsi="Arial" w:cs="Arial"/>
          <w:bCs/>
          <w:noProof/>
          <w:color w:val="000000" w:themeColor="text1"/>
          <w:sz w:val="20"/>
          <w:szCs w:val="20"/>
        </w:rPr>
        <w:t xml:space="preserve"> the departme</w:t>
      </w:r>
      <w:r w:rsidR="00307538" w:rsidRPr="00307538">
        <w:rPr>
          <w:rFonts w:ascii="Arial" w:hAnsi="Arial" w:cs="Arial"/>
          <w:bCs/>
          <w:noProof/>
          <w:color w:val="000000" w:themeColor="text1"/>
          <w:sz w:val="20"/>
          <w:szCs w:val="20"/>
        </w:rPr>
        <w:t xml:space="preserve">nt to adjust its targets appropriately during the adjustment period in February 2021. The sites visits is planned for the last week of January i.e. 25-29 January 2020. </w:t>
      </w:r>
    </w:p>
    <w:p w14:paraId="614FE5ED" w14:textId="77777777" w:rsidR="00007523" w:rsidRDefault="00007523" w:rsidP="00034798">
      <w:pPr>
        <w:pStyle w:val="ListParagraph"/>
        <w:ind w:left="644"/>
        <w:rPr>
          <w:rFonts w:ascii="Arial" w:hAnsi="Arial" w:cs="Arial"/>
          <w:b/>
          <w:bCs/>
          <w:noProof/>
          <w:color w:val="000000" w:themeColor="text1"/>
          <w:sz w:val="20"/>
          <w:szCs w:val="20"/>
        </w:rPr>
      </w:pPr>
    </w:p>
    <w:p w14:paraId="6B6D1B8D" w14:textId="77777777" w:rsidR="00007523" w:rsidRDefault="00007523" w:rsidP="00034798">
      <w:pPr>
        <w:pStyle w:val="ListParagraph"/>
        <w:ind w:left="644"/>
        <w:rPr>
          <w:rFonts w:ascii="Arial" w:hAnsi="Arial" w:cs="Arial"/>
          <w:b/>
          <w:bCs/>
          <w:noProof/>
          <w:color w:val="000000" w:themeColor="text1"/>
          <w:sz w:val="20"/>
          <w:szCs w:val="20"/>
        </w:rPr>
      </w:pPr>
    </w:p>
    <w:p w14:paraId="08D17E2A" w14:textId="77777777" w:rsidR="00007523" w:rsidRDefault="00007523" w:rsidP="00034798">
      <w:pPr>
        <w:pStyle w:val="ListParagraph"/>
        <w:ind w:left="644"/>
        <w:rPr>
          <w:rFonts w:ascii="Arial" w:hAnsi="Arial" w:cs="Arial"/>
          <w:b/>
          <w:bCs/>
          <w:noProof/>
          <w:color w:val="000000" w:themeColor="text1"/>
          <w:sz w:val="20"/>
          <w:szCs w:val="20"/>
        </w:rPr>
      </w:pPr>
    </w:p>
    <w:p w14:paraId="5E085227" w14:textId="6D8FC93D" w:rsidR="00007523" w:rsidRDefault="00ED17B9" w:rsidP="00034798">
      <w:pPr>
        <w:pStyle w:val="ListParagraph"/>
        <w:ind w:left="644"/>
        <w:rPr>
          <w:rFonts w:ascii="Arial" w:hAnsi="Arial" w:cs="Arial"/>
          <w:b/>
          <w:bCs/>
          <w:noProof/>
          <w:color w:val="000000" w:themeColor="text1"/>
          <w:sz w:val="20"/>
          <w:szCs w:val="20"/>
        </w:rPr>
      </w:pPr>
      <w:r>
        <w:rPr>
          <w:noProof/>
          <w:lang w:val="en-US" w:eastAsia="en-US"/>
        </w:rPr>
        <w:drawing>
          <wp:inline distT="0" distB="0" distL="0" distR="0" wp14:anchorId="40282744" wp14:editId="2422B2BC">
            <wp:extent cx="5471795" cy="3452812"/>
            <wp:effectExtent l="0" t="0" r="1460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20527" w14:textId="77777777" w:rsidR="00007523" w:rsidRDefault="00007523" w:rsidP="00034798">
      <w:pPr>
        <w:pStyle w:val="ListParagraph"/>
        <w:ind w:left="644"/>
        <w:rPr>
          <w:rFonts w:ascii="Arial" w:hAnsi="Arial" w:cs="Arial"/>
          <w:b/>
          <w:bCs/>
          <w:noProof/>
          <w:color w:val="000000" w:themeColor="text1"/>
          <w:sz w:val="20"/>
          <w:szCs w:val="20"/>
        </w:rPr>
      </w:pPr>
    </w:p>
    <w:p w14:paraId="5BE5806C" w14:textId="77777777" w:rsidR="00007523" w:rsidRDefault="00007523" w:rsidP="00034798">
      <w:pPr>
        <w:pStyle w:val="ListParagraph"/>
        <w:ind w:left="644"/>
        <w:rPr>
          <w:rFonts w:ascii="Arial" w:hAnsi="Arial" w:cs="Arial"/>
          <w:b/>
          <w:bCs/>
          <w:noProof/>
          <w:color w:val="000000" w:themeColor="text1"/>
          <w:sz w:val="20"/>
          <w:szCs w:val="20"/>
        </w:rPr>
      </w:pPr>
    </w:p>
    <w:p w14:paraId="5B0AEAEB" w14:textId="77777777" w:rsidR="00007523" w:rsidRDefault="00007523" w:rsidP="00034798">
      <w:pPr>
        <w:pStyle w:val="ListParagraph"/>
        <w:ind w:left="644"/>
        <w:rPr>
          <w:rFonts w:ascii="Arial" w:hAnsi="Arial" w:cs="Arial"/>
          <w:b/>
          <w:bCs/>
          <w:noProof/>
          <w:color w:val="000000" w:themeColor="text1"/>
          <w:sz w:val="20"/>
          <w:szCs w:val="20"/>
        </w:rPr>
      </w:pPr>
    </w:p>
    <w:p w14:paraId="3F170845" w14:textId="2013E591" w:rsidR="00007523" w:rsidRDefault="00007523" w:rsidP="00034798">
      <w:pPr>
        <w:pStyle w:val="ListParagraph"/>
        <w:ind w:left="644"/>
        <w:rPr>
          <w:rFonts w:ascii="Arial" w:hAnsi="Arial" w:cs="Arial"/>
          <w:b/>
          <w:bCs/>
          <w:noProof/>
          <w:color w:val="000000" w:themeColor="text1"/>
          <w:sz w:val="20"/>
          <w:szCs w:val="20"/>
        </w:rPr>
      </w:pPr>
    </w:p>
    <w:p w14:paraId="365AAA77" w14:textId="72B6B3AF" w:rsidR="00ED17B9" w:rsidRDefault="00ED17B9" w:rsidP="00034798">
      <w:pPr>
        <w:pStyle w:val="ListParagraph"/>
        <w:ind w:left="644"/>
        <w:rPr>
          <w:rFonts w:ascii="Arial" w:hAnsi="Arial" w:cs="Arial"/>
          <w:b/>
          <w:bCs/>
          <w:noProof/>
          <w:color w:val="000000" w:themeColor="text1"/>
          <w:sz w:val="20"/>
          <w:szCs w:val="20"/>
        </w:rPr>
      </w:pPr>
    </w:p>
    <w:p w14:paraId="6618395B" w14:textId="74A7578B" w:rsidR="00ED17B9" w:rsidRDefault="00ED17B9" w:rsidP="00034798">
      <w:pPr>
        <w:pStyle w:val="ListParagraph"/>
        <w:ind w:left="644"/>
        <w:rPr>
          <w:rFonts w:ascii="Arial" w:hAnsi="Arial" w:cs="Arial"/>
          <w:b/>
          <w:bCs/>
          <w:noProof/>
          <w:color w:val="000000" w:themeColor="text1"/>
          <w:sz w:val="20"/>
          <w:szCs w:val="20"/>
        </w:rPr>
      </w:pPr>
    </w:p>
    <w:p w14:paraId="52D662F6" w14:textId="792B7F50" w:rsidR="00ED17B9" w:rsidRDefault="00ED17B9" w:rsidP="00034798">
      <w:pPr>
        <w:pStyle w:val="ListParagraph"/>
        <w:ind w:left="644"/>
        <w:rPr>
          <w:rFonts w:ascii="Arial" w:hAnsi="Arial" w:cs="Arial"/>
          <w:b/>
          <w:bCs/>
          <w:noProof/>
          <w:color w:val="000000" w:themeColor="text1"/>
          <w:sz w:val="20"/>
          <w:szCs w:val="20"/>
        </w:rPr>
      </w:pPr>
    </w:p>
    <w:p w14:paraId="14C01F4B" w14:textId="0405874C" w:rsidR="00ED17B9" w:rsidRDefault="00ED17B9" w:rsidP="00034798">
      <w:pPr>
        <w:pStyle w:val="ListParagraph"/>
        <w:ind w:left="644"/>
        <w:rPr>
          <w:rFonts w:ascii="Arial" w:hAnsi="Arial" w:cs="Arial"/>
          <w:b/>
          <w:bCs/>
          <w:noProof/>
          <w:color w:val="000000" w:themeColor="text1"/>
          <w:sz w:val="20"/>
          <w:szCs w:val="20"/>
        </w:rPr>
      </w:pPr>
    </w:p>
    <w:p w14:paraId="63241DAA" w14:textId="7413775A" w:rsidR="00ED17B9" w:rsidRDefault="00ED17B9" w:rsidP="00034798">
      <w:pPr>
        <w:pStyle w:val="ListParagraph"/>
        <w:ind w:left="644"/>
        <w:rPr>
          <w:rFonts w:ascii="Arial" w:hAnsi="Arial" w:cs="Arial"/>
          <w:b/>
          <w:bCs/>
          <w:noProof/>
          <w:color w:val="000000" w:themeColor="text1"/>
          <w:sz w:val="20"/>
          <w:szCs w:val="20"/>
        </w:rPr>
      </w:pPr>
    </w:p>
    <w:p w14:paraId="29D6BDE5" w14:textId="44480747" w:rsidR="00ED17B9" w:rsidRDefault="00ED17B9" w:rsidP="00034798">
      <w:pPr>
        <w:pStyle w:val="ListParagraph"/>
        <w:ind w:left="644"/>
        <w:rPr>
          <w:rFonts w:ascii="Arial" w:hAnsi="Arial" w:cs="Arial"/>
          <w:b/>
          <w:bCs/>
          <w:noProof/>
          <w:color w:val="000000" w:themeColor="text1"/>
          <w:sz w:val="20"/>
          <w:szCs w:val="20"/>
        </w:rPr>
      </w:pPr>
    </w:p>
    <w:p w14:paraId="1A4BF8D3" w14:textId="6B2D08A8" w:rsidR="00ED17B9" w:rsidRDefault="00ED17B9" w:rsidP="00034798">
      <w:pPr>
        <w:pStyle w:val="ListParagraph"/>
        <w:ind w:left="644"/>
        <w:rPr>
          <w:rFonts w:ascii="Arial" w:hAnsi="Arial" w:cs="Arial"/>
          <w:b/>
          <w:bCs/>
          <w:noProof/>
          <w:color w:val="000000" w:themeColor="text1"/>
          <w:sz w:val="20"/>
          <w:szCs w:val="20"/>
        </w:rPr>
      </w:pPr>
    </w:p>
    <w:p w14:paraId="39B200C7" w14:textId="3BCD365E" w:rsidR="00ED17B9" w:rsidRDefault="00ED17B9" w:rsidP="00034798">
      <w:pPr>
        <w:pStyle w:val="ListParagraph"/>
        <w:ind w:left="644"/>
        <w:rPr>
          <w:rFonts w:ascii="Arial" w:hAnsi="Arial" w:cs="Arial"/>
          <w:b/>
          <w:bCs/>
          <w:noProof/>
          <w:color w:val="000000" w:themeColor="text1"/>
          <w:sz w:val="20"/>
          <w:szCs w:val="20"/>
        </w:rPr>
      </w:pPr>
    </w:p>
    <w:p w14:paraId="4AAB9003" w14:textId="58FB2315" w:rsidR="00ED17B9" w:rsidRDefault="00ED17B9" w:rsidP="00034798">
      <w:pPr>
        <w:pStyle w:val="ListParagraph"/>
        <w:ind w:left="644"/>
        <w:rPr>
          <w:rFonts w:ascii="Arial" w:hAnsi="Arial" w:cs="Arial"/>
          <w:b/>
          <w:bCs/>
          <w:noProof/>
          <w:color w:val="000000" w:themeColor="text1"/>
          <w:sz w:val="20"/>
          <w:szCs w:val="20"/>
        </w:rPr>
      </w:pPr>
    </w:p>
    <w:p w14:paraId="357DC514" w14:textId="297FE542" w:rsidR="00ED17B9" w:rsidRDefault="00ED17B9" w:rsidP="00034798">
      <w:pPr>
        <w:pStyle w:val="ListParagraph"/>
        <w:ind w:left="644"/>
        <w:rPr>
          <w:rFonts w:ascii="Arial" w:hAnsi="Arial" w:cs="Arial"/>
          <w:b/>
          <w:bCs/>
          <w:noProof/>
          <w:color w:val="000000" w:themeColor="text1"/>
          <w:sz w:val="20"/>
          <w:szCs w:val="20"/>
        </w:rPr>
      </w:pPr>
    </w:p>
    <w:p w14:paraId="2A8AD079" w14:textId="58BBB1B1" w:rsidR="00ED17B9" w:rsidRDefault="00ED17B9" w:rsidP="00034798">
      <w:pPr>
        <w:pStyle w:val="ListParagraph"/>
        <w:ind w:left="644"/>
        <w:rPr>
          <w:rFonts w:ascii="Arial" w:hAnsi="Arial" w:cs="Arial"/>
          <w:b/>
          <w:bCs/>
          <w:noProof/>
          <w:color w:val="000000" w:themeColor="text1"/>
          <w:sz w:val="20"/>
          <w:szCs w:val="20"/>
        </w:rPr>
      </w:pPr>
    </w:p>
    <w:p w14:paraId="339CC1BF" w14:textId="670F5637" w:rsidR="00ED17B9" w:rsidRDefault="00ED17B9" w:rsidP="00034798">
      <w:pPr>
        <w:pStyle w:val="ListParagraph"/>
        <w:ind w:left="644"/>
        <w:rPr>
          <w:rFonts w:ascii="Arial" w:hAnsi="Arial" w:cs="Arial"/>
          <w:b/>
          <w:bCs/>
          <w:noProof/>
          <w:color w:val="000000" w:themeColor="text1"/>
          <w:sz w:val="20"/>
          <w:szCs w:val="20"/>
        </w:rPr>
      </w:pPr>
    </w:p>
    <w:p w14:paraId="526B5AC4" w14:textId="27E571EE" w:rsidR="00ED17B9" w:rsidRDefault="00ED17B9" w:rsidP="00034798">
      <w:pPr>
        <w:pStyle w:val="ListParagraph"/>
        <w:ind w:left="644"/>
        <w:rPr>
          <w:rFonts w:ascii="Arial" w:hAnsi="Arial" w:cs="Arial"/>
          <w:b/>
          <w:bCs/>
          <w:noProof/>
          <w:color w:val="000000" w:themeColor="text1"/>
          <w:sz w:val="20"/>
          <w:szCs w:val="20"/>
        </w:rPr>
      </w:pPr>
    </w:p>
    <w:p w14:paraId="28506F0F" w14:textId="01E729DE" w:rsidR="00ED17B9" w:rsidRDefault="00ED17B9" w:rsidP="00034798">
      <w:pPr>
        <w:pStyle w:val="ListParagraph"/>
        <w:ind w:left="644"/>
        <w:rPr>
          <w:rFonts w:ascii="Arial" w:hAnsi="Arial" w:cs="Arial"/>
          <w:b/>
          <w:bCs/>
          <w:noProof/>
          <w:color w:val="000000" w:themeColor="text1"/>
          <w:sz w:val="20"/>
          <w:szCs w:val="20"/>
        </w:rPr>
      </w:pPr>
    </w:p>
    <w:p w14:paraId="1C3DE43F" w14:textId="7E8EF069" w:rsidR="00ED17B9" w:rsidRDefault="00ED17B9" w:rsidP="00034798">
      <w:pPr>
        <w:pStyle w:val="ListParagraph"/>
        <w:ind w:left="644"/>
        <w:rPr>
          <w:rFonts w:ascii="Arial" w:hAnsi="Arial" w:cs="Arial"/>
          <w:b/>
          <w:bCs/>
          <w:noProof/>
          <w:color w:val="000000" w:themeColor="text1"/>
          <w:sz w:val="20"/>
          <w:szCs w:val="20"/>
        </w:rPr>
      </w:pPr>
    </w:p>
    <w:p w14:paraId="4CA9E0CF" w14:textId="79F6BDDA" w:rsidR="00ED17B9" w:rsidRDefault="00ED17B9" w:rsidP="00034798">
      <w:pPr>
        <w:pStyle w:val="ListParagraph"/>
        <w:ind w:left="644"/>
        <w:rPr>
          <w:rFonts w:ascii="Arial" w:hAnsi="Arial" w:cs="Arial"/>
          <w:b/>
          <w:bCs/>
          <w:noProof/>
          <w:color w:val="000000" w:themeColor="text1"/>
          <w:sz w:val="20"/>
          <w:szCs w:val="20"/>
        </w:rPr>
      </w:pPr>
    </w:p>
    <w:p w14:paraId="09DE6004" w14:textId="28756134" w:rsidR="00ED17B9" w:rsidRDefault="00ED17B9" w:rsidP="00034798">
      <w:pPr>
        <w:pStyle w:val="ListParagraph"/>
        <w:ind w:left="644"/>
        <w:rPr>
          <w:rFonts w:ascii="Arial" w:hAnsi="Arial" w:cs="Arial"/>
          <w:b/>
          <w:bCs/>
          <w:noProof/>
          <w:color w:val="000000" w:themeColor="text1"/>
          <w:sz w:val="20"/>
          <w:szCs w:val="20"/>
        </w:rPr>
      </w:pPr>
    </w:p>
    <w:p w14:paraId="3A1ED67E" w14:textId="69B87E2B" w:rsidR="00ED17B9" w:rsidRDefault="00ED17B9" w:rsidP="00034798">
      <w:pPr>
        <w:pStyle w:val="ListParagraph"/>
        <w:ind w:left="644"/>
        <w:rPr>
          <w:rFonts w:ascii="Arial" w:hAnsi="Arial" w:cs="Arial"/>
          <w:b/>
          <w:bCs/>
          <w:noProof/>
          <w:color w:val="000000" w:themeColor="text1"/>
          <w:sz w:val="20"/>
          <w:szCs w:val="20"/>
        </w:rPr>
      </w:pPr>
    </w:p>
    <w:p w14:paraId="65CD2D8E" w14:textId="111F3420" w:rsidR="00ED17B9" w:rsidRDefault="00ED17B9" w:rsidP="00034798">
      <w:pPr>
        <w:pStyle w:val="ListParagraph"/>
        <w:ind w:left="644"/>
        <w:rPr>
          <w:rFonts w:ascii="Arial" w:hAnsi="Arial" w:cs="Arial"/>
          <w:b/>
          <w:bCs/>
          <w:noProof/>
          <w:color w:val="000000" w:themeColor="text1"/>
          <w:sz w:val="20"/>
          <w:szCs w:val="20"/>
        </w:rPr>
      </w:pPr>
    </w:p>
    <w:p w14:paraId="751F57B5" w14:textId="622ECE72" w:rsidR="00ED17B9" w:rsidRDefault="00ED17B9" w:rsidP="00034798">
      <w:pPr>
        <w:pStyle w:val="ListParagraph"/>
        <w:ind w:left="644"/>
        <w:rPr>
          <w:rFonts w:ascii="Arial" w:hAnsi="Arial" w:cs="Arial"/>
          <w:b/>
          <w:bCs/>
          <w:noProof/>
          <w:color w:val="000000" w:themeColor="text1"/>
          <w:sz w:val="20"/>
          <w:szCs w:val="20"/>
        </w:rPr>
      </w:pPr>
    </w:p>
    <w:p w14:paraId="60B19925" w14:textId="5A66395A" w:rsidR="00007523" w:rsidRDefault="007A6C73" w:rsidP="00034798">
      <w:pPr>
        <w:pStyle w:val="ListParagraph"/>
        <w:ind w:left="644"/>
        <w:rPr>
          <w:rFonts w:ascii="Arial" w:hAnsi="Arial" w:cs="Arial"/>
          <w:b/>
          <w:bCs/>
          <w:noProof/>
          <w:color w:val="000000" w:themeColor="text1"/>
          <w:sz w:val="20"/>
          <w:szCs w:val="20"/>
        </w:rPr>
      </w:pPr>
      <w:r>
        <w:rPr>
          <w:rFonts w:ascii="Arial" w:hAnsi="Arial" w:cs="Arial"/>
          <w:b/>
          <w:bCs/>
          <w:noProof/>
          <w:color w:val="000000" w:themeColor="text1"/>
          <w:sz w:val="20"/>
          <w:szCs w:val="20"/>
        </w:rPr>
        <w:lastRenderedPageBreak/>
        <w:t>SUMMARY OF    TARGETS NOT ACHIEVED DURING QUARTER 2 OF 2020/21</w:t>
      </w:r>
    </w:p>
    <w:p w14:paraId="1EB31654" w14:textId="4AF660E6" w:rsidR="00D45A44" w:rsidRDefault="00D45A44" w:rsidP="00034798">
      <w:pPr>
        <w:pStyle w:val="ListParagraph"/>
        <w:ind w:left="644"/>
        <w:rPr>
          <w:rFonts w:ascii="Arial" w:hAnsi="Arial" w:cs="Arial"/>
          <w:b/>
          <w:bCs/>
          <w:noProof/>
          <w:color w:val="000000" w:themeColor="text1"/>
          <w:sz w:val="20"/>
          <w:szCs w:val="20"/>
        </w:rPr>
      </w:pPr>
    </w:p>
    <w:p w14:paraId="3301DA2A" w14:textId="094CC1C0" w:rsidR="00034798" w:rsidRPr="00776589" w:rsidRDefault="00776589" w:rsidP="00034798">
      <w:pPr>
        <w:pStyle w:val="ListParagraph"/>
        <w:ind w:left="644"/>
        <w:rPr>
          <w:rFonts w:ascii="Arial" w:hAnsi="Arial" w:cs="Arial"/>
          <w:b/>
          <w:bCs/>
          <w:noProof/>
          <w:color w:val="000000" w:themeColor="text1"/>
          <w:sz w:val="20"/>
          <w:szCs w:val="20"/>
        </w:rPr>
      </w:pPr>
      <w:r w:rsidRPr="00776589">
        <w:rPr>
          <w:rFonts w:ascii="Arial" w:hAnsi="Arial" w:cs="Arial"/>
          <w:b/>
          <w:bCs/>
          <w:noProof/>
          <w:color w:val="000000" w:themeColor="text1"/>
          <w:sz w:val="20"/>
          <w:szCs w:val="20"/>
        </w:rPr>
        <w:t>The table below lists indicators that were not achieved during the quarter and remedial actions thereof:</w:t>
      </w:r>
    </w:p>
    <w:p w14:paraId="691B5A64" w14:textId="77777777" w:rsidR="00034798" w:rsidRPr="00776589" w:rsidRDefault="00034798" w:rsidP="00034798">
      <w:pPr>
        <w:pStyle w:val="ListParagraph"/>
        <w:ind w:left="644"/>
        <w:rPr>
          <w:rFonts w:ascii="Arial" w:hAnsi="Arial" w:cs="Arial"/>
          <w:b/>
          <w:bCs/>
          <w:noProof/>
          <w:color w:val="000000" w:themeColor="text1"/>
          <w:sz w:val="20"/>
          <w:szCs w:val="20"/>
        </w:rPr>
      </w:pPr>
    </w:p>
    <w:p w14:paraId="5967A610" w14:textId="46BF667D" w:rsidR="00034798" w:rsidRPr="008311EC" w:rsidRDefault="008311EC" w:rsidP="00034798">
      <w:pPr>
        <w:pStyle w:val="ListParagraph"/>
        <w:ind w:left="644"/>
        <w:rPr>
          <w:rFonts w:ascii="Arial" w:hAnsi="Arial" w:cs="Arial"/>
          <w:b/>
          <w:noProof/>
          <w:color w:val="000000" w:themeColor="text1"/>
        </w:rPr>
      </w:pPr>
      <w:r>
        <w:rPr>
          <w:rFonts w:ascii="Arial" w:hAnsi="Arial" w:cs="Arial"/>
          <w:b/>
          <w:noProof/>
          <w:color w:val="000000" w:themeColor="text1"/>
        </w:rPr>
        <w:t xml:space="preserve">EXECUTIVE &amp; COUNCIL/ </w:t>
      </w:r>
      <w:r w:rsidRPr="008311EC">
        <w:rPr>
          <w:rFonts w:ascii="Arial" w:hAnsi="Arial" w:cs="Arial"/>
          <w:b/>
          <w:noProof/>
          <w:color w:val="000000" w:themeColor="text1"/>
        </w:rPr>
        <w:t>OFFICE OF THE MUNICIPAL MANAGER</w:t>
      </w:r>
    </w:p>
    <w:tbl>
      <w:tblPr>
        <w:tblStyle w:val="TableGrid1"/>
        <w:tblW w:w="11547" w:type="dxa"/>
        <w:tblInd w:w="-1267" w:type="dxa"/>
        <w:tblLayout w:type="fixed"/>
        <w:tblLook w:val="04A0" w:firstRow="1" w:lastRow="0" w:firstColumn="1" w:lastColumn="0" w:noHBand="0" w:noVBand="1"/>
      </w:tblPr>
      <w:tblGrid>
        <w:gridCol w:w="993"/>
        <w:gridCol w:w="2274"/>
        <w:gridCol w:w="1836"/>
        <w:gridCol w:w="1854"/>
        <w:gridCol w:w="2340"/>
        <w:gridCol w:w="2250"/>
      </w:tblGrid>
      <w:tr w:rsidR="00007523" w:rsidRPr="00991DB8" w14:paraId="2E791D45" w14:textId="77777777" w:rsidTr="00D45A44">
        <w:tc>
          <w:tcPr>
            <w:tcW w:w="993" w:type="dxa"/>
            <w:shd w:val="clear" w:color="auto" w:fill="00B050"/>
          </w:tcPr>
          <w:p w14:paraId="0170B2A5" w14:textId="77777777" w:rsidR="00007523" w:rsidRPr="00991DB8" w:rsidRDefault="00007523" w:rsidP="00CF528B">
            <w:pPr>
              <w:spacing w:after="200" w:line="276" w:lineRule="auto"/>
              <w:rPr>
                <w:rFonts w:ascii="Arial" w:eastAsia="Calibri" w:hAnsi="Arial" w:cs="Arial"/>
                <w:b/>
                <w:sz w:val="20"/>
                <w:szCs w:val="20"/>
              </w:rPr>
            </w:pPr>
            <w:r>
              <w:rPr>
                <w:rFonts w:ascii="Arial" w:eastAsia="Calibri" w:hAnsi="Arial" w:cs="Arial"/>
                <w:b/>
                <w:sz w:val="20"/>
                <w:szCs w:val="20"/>
              </w:rPr>
              <w:t>SD</w:t>
            </w:r>
            <w:r w:rsidRPr="00991DB8">
              <w:rPr>
                <w:rFonts w:ascii="Arial" w:eastAsia="Calibri" w:hAnsi="Arial" w:cs="Arial"/>
                <w:b/>
                <w:sz w:val="20"/>
                <w:szCs w:val="20"/>
              </w:rPr>
              <w:t>BIP NO.</w:t>
            </w:r>
          </w:p>
          <w:p w14:paraId="5B821970" w14:textId="77777777" w:rsidR="00007523" w:rsidRPr="00991DB8" w:rsidRDefault="00007523" w:rsidP="00CF528B">
            <w:pPr>
              <w:spacing w:after="200" w:line="276" w:lineRule="auto"/>
              <w:rPr>
                <w:rFonts w:ascii="Arial" w:eastAsia="Calibri" w:hAnsi="Arial" w:cs="Arial"/>
                <w:sz w:val="20"/>
                <w:szCs w:val="20"/>
              </w:rPr>
            </w:pPr>
          </w:p>
        </w:tc>
        <w:tc>
          <w:tcPr>
            <w:tcW w:w="2274" w:type="dxa"/>
            <w:shd w:val="clear" w:color="auto" w:fill="00B050"/>
          </w:tcPr>
          <w:p w14:paraId="2916D20E" w14:textId="77777777" w:rsidR="00007523" w:rsidRPr="00991DB8" w:rsidRDefault="00007523" w:rsidP="00CF528B">
            <w:pPr>
              <w:spacing w:after="200" w:line="276" w:lineRule="auto"/>
              <w:rPr>
                <w:rFonts w:ascii="Arial" w:eastAsia="Calibri" w:hAnsi="Arial" w:cs="Arial"/>
                <w:b/>
                <w:sz w:val="20"/>
                <w:szCs w:val="20"/>
              </w:rPr>
            </w:pPr>
            <w:r>
              <w:rPr>
                <w:rFonts w:ascii="Arial" w:eastAsia="Calibri" w:hAnsi="Arial" w:cs="Arial"/>
                <w:b/>
                <w:sz w:val="20"/>
                <w:szCs w:val="20"/>
              </w:rPr>
              <w:t>KEY PERFORMANCE INDICATOR</w:t>
            </w:r>
          </w:p>
        </w:tc>
        <w:tc>
          <w:tcPr>
            <w:tcW w:w="1836" w:type="dxa"/>
            <w:shd w:val="clear" w:color="auto" w:fill="00B050"/>
          </w:tcPr>
          <w:p w14:paraId="6B852565" w14:textId="6ABF9272" w:rsidR="00007523" w:rsidRPr="00991DB8" w:rsidRDefault="007A6C73" w:rsidP="00CF528B">
            <w:pPr>
              <w:spacing w:after="200" w:line="276" w:lineRule="auto"/>
              <w:rPr>
                <w:rFonts w:ascii="Arial" w:eastAsia="Calibri" w:hAnsi="Arial" w:cs="Arial"/>
                <w:b/>
                <w:sz w:val="20"/>
                <w:szCs w:val="20"/>
              </w:rPr>
            </w:pPr>
            <w:r>
              <w:rPr>
                <w:rFonts w:ascii="Arial" w:eastAsia="Calibri" w:hAnsi="Arial" w:cs="Arial"/>
                <w:b/>
                <w:sz w:val="20"/>
                <w:szCs w:val="20"/>
              </w:rPr>
              <w:t xml:space="preserve">Q2 </w:t>
            </w:r>
            <w:r w:rsidR="00007523" w:rsidRPr="00991DB8">
              <w:rPr>
                <w:rFonts w:ascii="Arial" w:eastAsia="Calibri" w:hAnsi="Arial" w:cs="Arial"/>
                <w:b/>
                <w:sz w:val="20"/>
                <w:szCs w:val="20"/>
              </w:rPr>
              <w:t>TARGET</w:t>
            </w:r>
          </w:p>
        </w:tc>
        <w:tc>
          <w:tcPr>
            <w:tcW w:w="1854" w:type="dxa"/>
            <w:shd w:val="clear" w:color="auto" w:fill="00B050"/>
          </w:tcPr>
          <w:p w14:paraId="6DF88A60" w14:textId="77777777" w:rsidR="00007523" w:rsidRPr="00991DB8" w:rsidRDefault="00007523" w:rsidP="00CF528B">
            <w:pPr>
              <w:spacing w:after="200" w:line="276" w:lineRule="auto"/>
              <w:rPr>
                <w:rFonts w:ascii="Arial" w:eastAsia="Calibri" w:hAnsi="Arial" w:cs="Arial"/>
                <w:b/>
                <w:sz w:val="20"/>
                <w:szCs w:val="20"/>
              </w:rPr>
            </w:pPr>
            <w:r w:rsidRPr="00991DB8">
              <w:rPr>
                <w:rFonts w:ascii="Arial" w:eastAsia="Calibri" w:hAnsi="Arial" w:cs="Arial"/>
                <w:b/>
                <w:sz w:val="20"/>
                <w:szCs w:val="20"/>
              </w:rPr>
              <w:t>PERFORMANCE CLAIMED</w:t>
            </w:r>
          </w:p>
        </w:tc>
        <w:tc>
          <w:tcPr>
            <w:tcW w:w="2340" w:type="dxa"/>
            <w:shd w:val="clear" w:color="auto" w:fill="00B050"/>
          </w:tcPr>
          <w:p w14:paraId="72E17A49" w14:textId="77777777" w:rsidR="00007523" w:rsidRPr="00991DB8" w:rsidRDefault="00007523" w:rsidP="00CF528B">
            <w:pPr>
              <w:spacing w:after="200" w:line="276" w:lineRule="auto"/>
              <w:rPr>
                <w:rFonts w:ascii="Arial" w:eastAsia="Calibri" w:hAnsi="Arial" w:cs="Arial"/>
                <w:b/>
                <w:sz w:val="20"/>
                <w:szCs w:val="20"/>
              </w:rPr>
            </w:pPr>
            <w:r>
              <w:rPr>
                <w:rFonts w:ascii="Arial" w:eastAsia="Calibri" w:hAnsi="Arial" w:cs="Arial"/>
                <w:b/>
                <w:sz w:val="20"/>
                <w:szCs w:val="20"/>
              </w:rPr>
              <w:t>REASONS FOR NOT ACHIEVING CUMULATIVE TARGET</w:t>
            </w:r>
          </w:p>
        </w:tc>
        <w:tc>
          <w:tcPr>
            <w:tcW w:w="2250" w:type="dxa"/>
            <w:shd w:val="clear" w:color="auto" w:fill="00B050"/>
          </w:tcPr>
          <w:p w14:paraId="4F1D34A2" w14:textId="3FD9D187" w:rsidR="00007523" w:rsidRPr="00991DB8" w:rsidRDefault="00007523" w:rsidP="00CF528B">
            <w:pPr>
              <w:rPr>
                <w:rFonts w:ascii="Arial" w:eastAsia="Calibri" w:hAnsi="Arial" w:cs="Arial"/>
                <w:b/>
                <w:sz w:val="20"/>
                <w:szCs w:val="20"/>
              </w:rPr>
            </w:pPr>
            <w:r>
              <w:rPr>
                <w:rFonts w:ascii="Arial" w:eastAsia="Calibri" w:hAnsi="Arial" w:cs="Arial"/>
                <w:b/>
                <w:sz w:val="20"/>
                <w:szCs w:val="20"/>
              </w:rPr>
              <w:t>REMEDIAL ACTIONS</w:t>
            </w:r>
            <w:r w:rsidR="001F73CB">
              <w:rPr>
                <w:rFonts w:ascii="Arial" w:eastAsia="Calibri" w:hAnsi="Arial" w:cs="Arial"/>
                <w:b/>
                <w:sz w:val="20"/>
                <w:szCs w:val="20"/>
              </w:rPr>
              <w:t>/ CORRECTIVE MEASURES</w:t>
            </w:r>
          </w:p>
        </w:tc>
      </w:tr>
      <w:tr w:rsidR="00233DBE" w:rsidRPr="00991DB8" w14:paraId="652DD099" w14:textId="77777777" w:rsidTr="00D45A44">
        <w:tc>
          <w:tcPr>
            <w:tcW w:w="993" w:type="dxa"/>
          </w:tcPr>
          <w:p w14:paraId="5AA044B6" w14:textId="77777777" w:rsidR="00233DBE" w:rsidRPr="001F73CB" w:rsidRDefault="00233DBE" w:rsidP="00CF528B">
            <w:pPr>
              <w:spacing w:after="200" w:line="276" w:lineRule="auto"/>
              <w:rPr>
                <w:rFonts w:ascii="Arial" w:eastAsia="Calibri" w:hAnsi="Arial" w:cs="Arial"/>
                <w:sz w:val="20"/>
                <w:szCs w:val="20"/>
              </w:rPr>
            </w:pPr>
          </w:p>
          <w:p w14:paraId="59946C18" w14:textId="129683CB"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OMM12</w:t>
            </w:r>
          </w:p>
        </w:tc>
        <w:tc>
          <w:tcPr>
            <w:tcW w:w="2274" w:type="dxa"/>
          </w:tcPr>
          <w:p w14:paraId="2E03AB30" w14:textId="020D127B"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Percentage of a municipality's annual capital budget actually spent on capital projects</w:t>
            </w:r>
          </w:p>
        </w:tc>
        <w:tc>
          <w:tcPr>
            <w:tcW w:w="1836" w:type="dxa"/>
          </w:tcPr>
          <w:p w14:paraId="5DCB1B70" w14:textId="61A86ADE"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50%</w:t>
            </w:r>
          </w:p>
        </w:tc>
        <w:tc>
          <w:tcPr>
            <w:tcW w:w="1854" w:type="dxa"/>
          </w:tcPr>
          <w:p w14:paraId="53E89112" w14:textId="1BBD3C67"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Target not achieved, 19% of  municipality's annual capital budget has actually been spent on capital projects by 30 December 2020</w:t>
            </w:r>
          </w:p>
        </w:tc>
        <w:tc>
          <w:tcPr>
            <w:tcW w:w="2340" w:type="dxa"/>
          </w:tcPr>
          <w:p w14:paraId="1C124345" w14:textId="5E67EC8F"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 xml:space="preserve">There were delays in SCM processes as Bid Committees were constantly being interrupted by </w:t>
            </w:r>
            <w:proofErr w:type="spellStart"/>
            <w:r w:rsidRPr="001F73CB">
              <w:rPr>
                <w:rFonts w:ascii="Arial" w:eastAsia="Calibri" w:hAnsi="Arial" w:cs="Arial"/>
                <w:sz w:val="20"/>
                <w:szCs w:val="20"/>
              </w:rPr>
              <w:t>Covid</w:t>
            </w:r>
            <w:proofErr w:type="spellEnd"/>
            <w:r w:rsidRPr="001F73CB">
              <w:rPr>
                <w:rFonts w:ascii="Arial" w:eastAsia="Calibri" w:hAnsi="Arial" w:cs="Arial"/>
                <w:sz w:val="20"/>
                <w:szCs w:val="20"/>
              </w:rPr>
              <w:t>-cases within the municipality and therefor</w:t>
            </w:r>
            <w:r>
              <w:rPr>
                <w:rFonts w:ascii="Arial" w:eastAsia="Calibri" w:hAnsi="Arial" w:cs="Arial"/>
                <w:sz w:val="20"/>
                <w:szCs w:val="20"/>
              </w:rPr>
              <w:t>e could not evaluate/adjudicate</w:t>
            </w:r>
            <w:r w:rsidRPr="001F73CB">
              <w:rPr>
                <w:rFonts w:ascii="Arial" w:eastAsia="Calibri" w:hAnsi="Arial" w:cs="Arial"/>
                <w:sz w:val="20"/>
                <w:szCs w:val="20"/>
              </w:rPr>
              <w:t xml:space="preserve"> a number of service delivery related projects.</w:t>
            </w:r>
          </w:p>
        </w:tc>
        <w:tc>
          <w:tcPr>
            <w:tcW w:w="2250" w:type="dxa"/>
          </w:tcPr>
          <w:p w14:paraId="03AB7ED8" w14:textId="4E68E89E" w:rsidR="00233DBE" w:rsidRPr="001F73CB" w:rsidRDefault="001F73CB" w:rsidP="00CF528B">
            <w:pPr>
              <w:rPr>
                <w:rFonts w:ascii="Arial" w:eastAsia="Calibri" w:hAnsi="Arial" w:cs="Arial"/>
                <w:sz w:val="20"/>
                <w:szCs w:val="20"/>
              </w:rPr>
            </w:pPr>
            <w:r w:rsidRPr="001F73CB">
              <w:rPr>
                <w:rFonts w:ascii="Arial" w:eastAsia="Calibri" w:hAnsi="Arial" w:cs="Arial"/>
                <w:sz w:val="20"/>
                <w:szCs w:val="20"/>
              </w:rPr>
              <w:t>Both the Evaluation and Adjudication Committee have drafted a new schedule with priority list of projects to be evaluated and adjudicated within Q3 in order to ensure that there is improvement on capital expenditure</w:t>
            </w:r>
          </w:p>
        </w:tc>
      </w:tr>
      <w:tr w:rsidR="00233DBE" w:rsidRPr="00991DB8" w14:paraId="7C20D2B6" w14:textId="77777777" w:rsidTr="00D45A44">
        <w:tc>
          <w:tcPr>
            <w:tcW w:w="993" w:type="dxa"/>
          </w:tcPr>
          <w:p w14:paraId="48186F7B" w14:textId="2EACD823"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DTPS02</w:t>
            </w:r>
          </w:p>
        </w:tc>
        <w:tc>
          <w:tcPr>
            <w:tcW w:w="2274" w:type="dxa"/>
          </w:tcPr>
          <w:p w14:paraId="6C798E2F" w14:textId="5F2D5612"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Number of General Plans  submitted to Surveyor General for approval</w:t>
            </w:r>
          </w:p>
        </w:tc>
        <w:tc>
          <w:tcPr>
            <w:tcW w:w="1836" w:type="dxa"/>
          </w:tcPr>
          <w:p w14:paraId="0E508C60" w14:textId="30087E4A"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Development of Final Subdivision Layout Plan</w:t>
            </w:r>
          </w:p>
        </w:tc>
        <w:tc>
          <w:tcPr>
            <w:tcW w:w="1854" w:type="dxa"/>
          </w:tcPr>
          <w:p w14:paraId="4325F68C" w14:textId="7D6D9BE7" w:rsidR="00233DBE" w:rsidRPr="001F73CB" w:rsidRDefault="001F73CB" w:rsidP="00CF528B">
            <w:pPr>
              <w:spacing w:after="200" w:line="276" w:lineRule="auto"/>
              <w:rPr>
                <w:rFonts w:ascii="Arial" w:eastAsia="Calibri" w:hAnsi="Arial" w:cs="Arial"/>
                <w:sz w:val="20"/>
                <w:szCs w:val="20"/>
              </w:rPr>
            </w:pPr>
            <w:r w:rsidRPr="001F73CB">
              <w:rPr>
                <w:rFonts w:ascii="Arial" w:eastAsia="Calibri" w:hAnsi="Arial" w:cs="Arial"/>
                <w:sz w:val="20"/>
                <w:szCs w:val="20"/>
              </w:rPr>
              <w:t>Target not achi</w:t>
            </w:r>
            <w:r>
              <w:rPr>
                <w:rFonts w:ascii="Arial" w:eastAsia="Calibri" w:hAnsi="Arial" w:cs="Arial"/>
                <w:sz w:val="20"/>
                <w:szCs w:val="20"/>
              </w:rPr>
              <w:t>e</w:t>
            </w:r>
            <w:r w:rsidRPr="001F73CB">
              <w:rPr>
                <w:rFonts w:ascii="Arial" w:eastAsia="Calibri" w:hAnsi="Arial" w:cs="Arial"/>
                <w:sz w:val="20"/>
                <w:szCs w:val="20"/>
              </w:rPr>
              <w:t>ved, the service provider to develop the final subdivision layout has not been appointed</w:t>
            </w:r>
          </w:p>
        </w:tc>
        <w:tc>
          <w:tcPr>
            <w:tcW w:w="2340" w:type="dxa"/>
          </w:tcPr>
          <w:p w14:paraId="22703121" w14:textId="725AA25A" w:rsidR="00233DBE" w:rsidRPr="0046499D" w:rsidRDefault="001F73CB" w:rsidP="00CF528B">
            <w:pPr>
              <w:spacing w:after="200" w:line="276" w:lineRule="auto"/>
              <w:rPr>
                <w:rFonts w:ascii="Arial" w:eastAsia="Calibri" w:hAnsi="Arial" w:cs="Arial"/>
                <w:sz w:val="20"/>
                <w:szCs w:val="20"/>
              </w:rPr>
            </w:pPr>
            <w:r w:rsidRPr="0046499D">
              <w:rPr>
                <w:rFonts w:ascii="Arial" w:eastAsia="Calibri" w:hAnsi="Arial" w:cs="Arial"/>
                <w:sz w:val="20"/>
                <w:szCs w:val="20"/>
              </w:rPr>
              <w:t>There were delays in SCM processes as all Bid Committees could not sit during the quarter due to being too committed with other service delivery projects.</w:t>
            </w:r>
          </w:p>
        </w:tc>
        <w:tc>
          <w:tcPr>
            <w:tcW w:w="2250" w:type="dxa"/>
          </w:tcPr>
          <w:p w14:paraId="4519716A" w14:textId="0F7204D1" w:rsidR="00233DBE" w:rsidRPr="0046499D" w:rsidRDefault="001F73CB" w:rsidP="00CF528B">
            <w:pPr>
              <w:rPr>
                <w:rFonts w:ascii="Arial" w:eastAsia="Calibri" w:hAnsi="Arial" w:cs="Arial"/>
                <w:sz w:val="20"/>
                <w:szCs w:val="20"/>
              </w:rPr>
            </w:pPr>
            <w:r w:rsidRPr="0046499D">
              <w:rPr>
                <w:rFonts w:ascii="Arial" w:eastAsia="Calibri" w:hAnsi="Arial" w:cs="Arial"/>
                <w:sz w:val="20"/>
                <w:szCs w:val="20"/>
              </w:rPr>
              <w:t>A follow up will be made with the SCM unit to ensure that the bid is adjudicated and the appointed service provider would be closely monitored to ensure that the report is produced before the end of Q3.</w:t>
            </w:r>
          </w:p>
        </w:tc>
      </w:tr>
    </w:tbl>
    <w:p w14:paraId="467A4003" w14:textId="77777777" w:rsidR="00034798" w:rsidRDefault="00034798" w:rsidP="00034798">
      <w:pPr>
        <w:pStyle w:val="ListParagraph"/>
        <w:ind w:left="644"/>
        <w:rPr>
          <w:noProof/>
          <w:color w:val="FF0000"/>
        </w:rPr>
      </w:pPr>
    </w:p>
    <w:p w14:paraId="5AF67D58" w14:textId="77777777" w:rsidR="00034798" w:rsidRDefault="00034798" w:rsidP="00034798">
      <w:pPr>
        <w:pStyle w:val="ListParagraph"/>
        <w:ind w:left="644"/>
        <w:rPr>
          <w:noProof/>
          <w:color w:val="FF0000"/>
        </w:rPr>
      </w:pPr>
    </w:p>
    <w:p w14:paraId="3D337308" w14:textId="20C36656" w:rsidR="00034798" w:rsidRDefault="00034798" w:rsidP="00034798">
      <w:pPr>
        <w:pStyle w:val="ListParagraph"/>
        <w:ind w:left="644"/>
        <w:rPr>
          <w:noProof/>
          <w:color w:val="FF0000"/>
        </w:rPr>
      </w:pPr>
    </w:p>
    <w:p w14:paraId="0339C038" w14:textId="598FE90D" w:rsidR="00007523" w:rsidRDefault="00007523" w:rsidP="00034798">
      <w:pPr>
        <w:pStyle w:val="ListParagraph"/>
        <w:ind w:left="644"/>
        <w:rPr>
          <w:noProof/>
          <w:color w:val="FF0000"/>
        </w:rPr>
      </w:pPr>
    </w:p>
    <w:p w14:paraId="00EC8739" w14:textId="0D0C449E" w:rsidR="00007523" w:rsidRDefault="00007523" w:rsidP="00034798">
      <w:pPr>
        <w:pStyle w:val="ListParagraph"/>
        <w:ind w:left="644"/>
        <w:rPr>
          <w:noProof/>
          <w:color w:val="FF0000"/>
        </w:rPr>
      </w:pPr>
    </w:p>
    <w:p w14:paraId="2AB109A3" w14:textId="64CB85F2" w:rsidR="00007523" w:rsidRDefault="00007523" w:rsidP="00034798">
      <w:pPr>
        <w:pStyle w:val="ListParagraph"/>
        <w:ind w:left="644"/>
        <w:rPr>
          <w:noProof/>
          <w:color w:val="FF0000"/>
        </w:rPr>
      </w:pPr>
    </w:p>
    <w:p w14:paraId="6EDE814C" w14:textId="691323D0" w:rsidR="00007523" w:rsidRDefault="00007523" w:rsidP="00034798">
      <w:pPr>
        <w:pStyle w:val="ListParagraph"/>
        <w:ind w:left="644"/>
        <w:rPr>
          <w:noProof/>
          <w:color w:val="FF0000"/>
        </w:rPr>
      </w:pPr>
    </w:p>
    <w:p w14:paraId="1E51CF49" w14:textId="4389EC80" w:rsidR="00007523" w:rsidRDefault="00007523" w:rsidP="00034798">
      <w:pPr>
        <w:pStyle w:val="ListParagraph"/>
        <w:ind w:left="644"/>
        <w:rPr>
          <w:noProof/>
          <w:color w:val="FF0000"/>
        </w:rPr>
      </w:pPr>
    </w:p>
    <w:p w14:paraId="1D42C132" w14:textId="24FA54B6" w:rsidR="00007523" w:rsidRDefault="00007523" w:rsidP="00034798">
      <w:pPr>
        <w:pStyle w:val="ListParagraph"/>
        <w:ind w:left="644"/>
        <w:rPr>
          <w:noProof/>
          <w:color w:val="FF0000"/>
        </w:rPr>
      </w:pPr>
    </w:p>
    <w:p w14:paraId="329090C7" w14:textId="6F0EE0C8" w:rsidR="00007523" w:rsidRDefault="00007523" w:rsidP="00034798">
      <w:pPr>
        <w:pStyle w:val="ListParagraph"/>
        <w:ind w:left="644"/>
        <w:rPr>
          <w:noProof/>
          <w:color w:val="FF0000"/>
        </w:rPr>
      </w:pPr>
    </w:p>
    <w:p w14:paraId="28D2453B" w14:textId="25B6A38E" w:rsidR="00007523" w:rsidRDefault="00007523" w:rsidP="00034798">
      <w:pPr>
        <w:pStyle w:val="ListParagraph"/>
        <w:ind w:left="644"/>
        <w:rPr>
          <w:noProof/>
          <w:color w:val="FF0000"/>
        </w:rPr>
      </w:pPr>
    </w:p>
    <w:p w14:paraId="6AAD3E1F" w14:textId="13352CAA" w:rsidR="00007523" w:rsidRDefault="00007523" w:rsidP="00034798">
      <w:pPr>
        <w:pStyle w:val="ListParagraph"/>
        <w:ind w:left="644"/>
        <w:rPr>
          <w:noProof/>
          <w:color w:val="FF0000"/>
        </w:rPr>
      </w:pPr>
    </w:p>
    <w:p w14:paraId="79FF43D4" w14:textId="066DA9E7" w:rsidR="00007523" w:rsidRDefault="00007523" w:rsidP="00034798">
      <w:pPr>
        <w:pStyle w:val="ListParagraph"/>
        <w:ind w:left="644"/>
        <w:rPr>
          <w:noProof/>
          <w:color w:val="FF0000"/>
        </w:rPr>
      </w:pPr>
    </w:p>
    <w:p w14:paraId="381BB652" w14:textId="39DA3C51" w:rsidR="007A6C73" w:rsidRDefault="007A6C73" w:rsidP="00034798">
      <w:pPr>
        <w:pStyle w:val="ListParagraph"/>
        <w:ind w:left="644"/>
        <w:rPr>
          <w:noProof/>
          <w:color w:val="FF0000"/>
        </w:rPr>
      </w:pPr>
    </w:p>
    <w:p w14:paraId="0448B09E" w14:textId="6A3E86EB" w:rsidR="007A6C73" w:rsidRDefault="007A6C73" w:rsidP="00034798">
      <w:pPr>
        <w:pStyle w:val="ListParagraph"/>
        <w:ind w:left="644"/>
        <w:rPr>
          <w:noProof/>
          <w:color w:val="FF0000"/>
        </w:rPr>
      </w:pPr>
    </w:p>
    <w:p w14:paraId="7BCAD550" w14:textId="77777777" w:rsidR="007A6C73" w:rsidRDefault="007A6C73" w:rsidP="00034798">
      <w:pPr>
        <w:pStyle w:val="ListParagraph"/>
        <w:ind w:left="644"/>
        <w:rPr>
          <w:noProof/>
          <w:color w:val="FF0000"/>
        </w:rPr>
      </w:pPr>
    </w:p>
    <w:p w14:paraId="5C06103E" w14:textId="6FAA019F" w:rsidR="00007523" w:rsidRDefault="00007523" w:rsidP="00034798">
      <w:pPr>
        <w:pStyle w:val="ListParagraph"/>
        <w:ind w:left="644"/>
        <w:rPr>
          <w:noProof/>
          <w:color w:val="FF0000"/>
        </w:rPr>
      </w:pPr>
    </w:p>
    <w:p w14:paraId="5F099EB9" w14:textId="3E207258" w:rsidR="007C2407" w:rsidRPr="00C53DA6" w:rsidRDefault="00C53DA6" w:rsidP="00C53DA6">
      <w:pPr>
        <w:jc w:val="both"/>
        <w:outlineLvl w:val="0"/>
        <w:rPr>
          <w:rFonts w:ascii="Arial" w:hAnsi="Arial" w:cs="Arial"/>
          <w:b/>
          <w:bCs/>
          <w:sz w:val="20"/>
          <w:szCs w:val="20"/>
        </w:rPr>
      </w:pPr>
      <w:bookmarkStart w:id="198" w:name="_Toc61962843"/>
      <w:proofErr w:type="gramStart"/>
      <w:r>
        <w:rPr>
          <w:rFonts w:ascii="Arial" w:hAnsi="Arial" w:cs="Arial"/>
          <w:b/>
          <w:bCs/>
          <w:sz w:val="20"/>
          <w:szCs w:val="20"/>
        </w:rPr>
        <w:lastRenderedPageBreak/>
        <w:t>2.</w:t>
      </w:r>
      <w:r w:rsidR="00D45A44" w:rsidRPr="00C53DA6">
        <w:rPr>
          <w:rFonts w:ascii="Arial" w:hAnsi="Arial" w:cs="Arial"/>
          <w:b/>
          <w:bCs/>
          <w:sz w:val="20"/>
          <w:szCs w:val="20"/>
        </w:rPr>
        <w:t>C</w:t>
      </w:r>
      <w:r w:rsidR="007C2407" w:rsidRPr="00C53DA6">
        <w:rPr>
          <w:rFonts w:ascii="Arial" w:hAnsi="Arial" w:cs="Arial"/>
          <w:b/>
          <w:bCs/>
          <w:sz w:val="20"/>
          <w:szCs w:val="20"/>
        </w:rPr>
        <w:t>OMMUNITY</w:t>
      </w:r>
      <w:proofErr w:type="gramEnd"/>
      <w:r w:rsidR="007C2407" w:rsidRPr="00C53DA6">
        <w:rPr>
          <w:rFonts w:ascii="Arial" w:hAnsi="Arial" w:cs="Arial"/>
          <w:b/>
          <w:bCs/>
          <w:sz w:val="20"/>
          <w:szCs w:val="20"/>
        </w:rPr>
        <w:t>&amp; SOCIAL SERVICES DEPARTMENT</w:t>
      </w:r>
      <w:bookmarkEnd w:id="198"/>
    </w:p>
    <w:p w14:paraId="3FDCD92A" w14:textId="16840377" w:rsidR="007C2407" w:rsidRPr="006302E2" w:rsidRDefault="007C2407" w:rsidP="00385F9B">
      <w:pPr>
        <w:jc w:val="both"/>
        <w:rPr>
          <w:rFonts w:ascii="Arial" w:hAnsi="Arial" w:cs="Arial"/>
          <w:b/>
          <w:bCs/>
          <w:sz w:val="20"/>
          <w:szCs w:val="20"/>
        </w:rPr>
      </w:pPr>
    </w:p>
    <w:p w14:paraId="596129C2" w14:textId="120DC4B1" w:rsidR="007C2407" w:rsidRPr="006302E2" w:rsidRDefault="007C2407" w:rsidP="007C2407">
      <w:pPr>
        <w:rPr>
          <w:rFonts w:ascii="Arial" w:hAnsi="Arial" w:cs="Arial"/>
          <w:sz w:val="20"/>
          <w:szCs w:val="20"/>
        </w:rPr>
      </w:pPr>
      <w:r w:rsidRPr="006302E2">
        <w:rPr>
          <w:rFonts w:ascii="Arial" w:hAnsi="Arial" w:cs="Arial"/>
          <w:sz w:val="20"/>
          <w:szCs w:val="20"/>
        </w:rPr>
        <w:t>The Community and Social Services Department comprises of the following units:</w:t>
      </w:r>
    </w:p>
    <w:p w14:paraId="58484596" w14:textId="133C6E92" w:rsidR="007C2407" w:rsidRPr="006302E2" w:rsidRDefault="007C2407" w:rsidP="007C2407">
      <w:pPr>
        <w:pStyle w:val="ListParagraph"/>
        <w:numPr>
          <w:ilvl w:val="0"/>
          <w:numId w:val="7"/>
        </w:numPr>
        <w:rPr>
          <w:rFonts w:ascii="Arial" w:hAnsi="Arial" w:cs="Arial"/>
          <w:sz w:val="20"/>
          <w:szCs w:val="20"/>
        </w:rPr>
      </w:pPr>
      <w:r w:rsidRPr="006302E2">
        <w:rPr>
          <w:rFonts w:ascii="Arial" w:hAnsi="Arial" w:cs="Arial"/>
          <w:sz w:val="20"/>
          <w:szCs w:val="20"/>
        </w:rPr>
        <w:t xml:space="preserve">Community Safety, </w:t>
      </w:r>
    </w:p>
    <w:p w14:paraId="5EEA2B60" w14:textId="681A6958" w:rsidR="007C2407" w:rsidRPr="006302E2" w:rsidRDefault="007C2407" w:rsidP="007C2407">
      <w:pPr>
        <w:pStyle w:val="ListParagraph"/>
        <w:numPr>
          <w:ilvl w:val="0"/>
          <w:numId w:val="7"/>
        </w:numPr>
        <w:rPr>
          <w:rFonts w:ascii="Arial" w:hAnsi="Arial" w:cs="Arial"/>
          <w:sz w:val="20"/>
          <w:szCs w:val="20"/>
        </w:rPr>
      </w:pPr>
      <w:r w:rsidRPr="006302E2">
        <w:rPr>
          <w:rFonts w:ascii="Arial" w:hAnsi="Arial" w:cs="Arial"/>
          <w:sz w:val="20"/>
          <w:szCs w:val="20"/>
        </w:rPr>
        <w:t xml:space="preserve">Community Programs, </w:t>
      </w:r>
    </w:p>
    <w:p w14:paraId="7DBD740F" w14:textId="77777777" w:rsidR="007C2407" w:rsidRPr="006302E2" w:rsidRDefault="007C2407" w:rsidP="007C2407">
      <w:pPr>
        <w:pStyle w:val="ListParagraph"/>
        <w:numPr>
          <w:ilvl w:val="0"/>
          <w:numId w:val="7"/>
        </w:numPr>
        <w:rPr>
          <w:rFonts w:ascii="Arial" w:hAnsi="Arial" w:cs="Arial"/>
          <w:sz w:val="20"/>
          <w:szCs w:val="20"/>
        </w:rPr>
      </w:pPr>
      <w:r w:rsidRPr="006302E2">
        <w:rPr>
          <w:rFonts w:ascii="Arial" w:hAnsi="Arial" w:cs="Arial"/>
          <w:sz w:val="20"/>
          <w:szCs w:val="20"/>
        </w:rPr>
        <w:t xml:space="preserve">LED, </w:t>
      </w:r>
    </w:p>
    <w:p w14:paraId="73B0C232" w14:textId="77777777" w:rsidR="007C2407" w:rsidRPr="006302E2" w:rsidRDefault="007C2407" w:rsidP="007C2407">
      <w:pPr>
        <w:pStyle w:val="ListParagraph"/>
        <w:numPr>
          <w:ilvl w:val="0"/>
          <w:numId w:val="7"/>
        </w:numPr>
        <w:rPr>
          <w:rFonts w:ascii="Arial" w:hAnsi="Arial" w:cs="Arial"/>
          <w:sz w:val="20"/>
          <w:szCs w:val="20"/>
        </w:rPr>
      </w:pPr>
      <w:r w:rsidRPr="006302E2">
        <w:rPr>
          <w:rFonts w:ascii="Arial" w:hAnsi="Arial" w:cs="Arial"/>
          <w:sz w:val="20"/>
          <w:szCs w:val="20"/>
        </w:rPr>
        <w:t xml:space="preserve">Tourism, </w:t>
      </w:r>
    </w:p>
    <w:p w14:paraId="15117A34" w14:textId="55055AD7" w:rsidR="007C2407" w:rsidRPr="006302E2" w:rsidRDefault="007C2407" w:rsidP="007C2407">
      <w:pPr>
        <w:pStyle w:val="ListParagraph"/>
        <w:numPr>
          <w:ilvl w:val="0"/>
          <w:numId w:val="7"/>
        </w:numPr>
        <w:rPr>
          <w:rFonts w:ascii="Arial" w:hAnsi="Arial" w:cs="Arial"/>
          <w:sz w:val="20"/>
          <w:szCs w:val="20"/>
        </w:rPr>
      </w:pPr>
      <w:r w:rsidRPr="006302E2">
        <w:rPr>
          <w:rFonts w:ascii="Arial" w:hAnsi="Arial" w:cs="Arial"/>
          <w:sz w:val="20"/>
          <w:szCs w:val="20"/>
        </w:rPr>
        <w:t>Sports, Arts and Culture unit</w:t>
      </w:r>
    </w:p>
    <w:p w14:paraId="5E71CF9D" w14:textId="6C02908B" w:rsidR="00AF0849" w:rsidRDefault="00233DBE" w:rsidP="00385F9B">
      <w:pPr>
        <w:jc w:val="both"/>
        <w:rPr>
          <w:rFonts w:ascii="Arial" w:hAnsi="Arial" w:cs="Arial"/>
          <w:sz w:val="20"/>
          <w:szCs w:val="20"/>
        </w:rPr>
      </w:pPr>
      <w:r>
        <w:rPr>
          <w:rFonts w:ascii="Arial" w:hAnsi="Arial" w:cs="Arial"/>
          <w:sz w:val="20"/>
          <w:szCs w:val="20"/>
        </w:rPr>
        <w:t>The department has 23</w:t>
      </w:r>
      <w:r w:rsidR="00D33507" w:rsidRPr="00D33507">
        <w:rPr>
          <w:rFonts w:ascii="Arial" w:hAnsi="Arial" w:cs="Arial"/>
          <w:sz w:val="20"/>
          <w:szCs w:val="20"/>
        </w:rPr>
        <w:t xml:space="preserve"> targets planned for t</w:t>
      </w:r>
      <w:r w:rsidR="00AA4ED0">
        <w:rPr>
          <w:rFonts w:ascii="Arial" w:hAnsi="Arial" w:cs="Arial"/>
          <w:sz w:val="20"/>
          <w:szCs w:val="20"/>
        </w:rPr>
        <w:t>he financial year of those 08</w:t>
      </w:r>
      <w:r w:rsidR="00D33507" w:rsidRPr="00D33507">
        <w:rPr>
          <w:rFonts w:ascii="Arial" w:hAnsi="Arial" w:cs="Arial"/>
          <w:sz w:val="20"/>
          <w:szCs w:val="20"/>
        </w:rPr>
        <w:t xml:space="preserve"> were not applicabl</w:t>
      </w:r>
      <w:r w:rsidR="00AA4ED0">
        <w:rPr>
          <w:rFonts w:ascii="Arial" w:hAnsi="Arial" w:cs="Arial"/>
          <w:sz w:val="20"/>
          <w:szCs w:val="20"/>
        </w:rPr>
        <w:t xml:space="preserve">e in the quarter which leaves 15 </w:t>
      </w:r>
      <w:r w:rsidR="00D33507" w:rsidRPr="00D33507">
        <w:rPr>
          <w:rFonts w:ascii="Arial" w:hAnsi="Arial" w:cs="Arial"/>
          <w:sz w:val="20"/>
          <w:szCs w:val="20"/>
        </w:rPr>
        <w:t xml:space="preserve">of those to be achieved by the department in quarter 2. </w:t>
      </w:r>
      <w:r w:rsidR="00187C1E">
        <w:rPr>
          <w:rFonts w:ascii="Arial" w:hAnsi="Arial" w:cs="Arial"/>
          <w:sz w:val="20"/>
          <w:szCs w:val="20"/>
        </w:rPr>
        <w:t xml:space="preserve">Only three targets </w:t>
      </w:r>
      <w:r w:rsidR="003F24AF">
        <w:rPr>
          <w:rFonts w:ascii="Arial" w:hAnsi="Arial" w:cs="Arial"/>
          <w:sz w:val="20"/>
          <w:szCs w:val="20"/>
        </w:rPr>
        <w:t xml:space="preserve">were not achieved in quarter </w:t>
      </w:r>
      <w:r w:rsidR="007A6C73">
        <w:rPr>
          <w:rFonts w:ascii="Arial" w:hAnsi="Arial" w:cs="Arial"/>
          <w:sz w:val="20"/>
          <w:szCs w:val="20"/>
        </w:rPr>
        <w:t xml:space="preserve">2 of 2020/21 the details are highlighted in the table below. </w:t>
      </w:r>
      <w:r w:rsidR="00187C1E">
        <w:rPr>
          <w:rFonts w:ascii="Arial" w:hAnsi="Arial" w:cs="Arial"/>
          <w:sz w:val="20"/>
          <w:szCs w:val="20"/>
        </w:rPr>
        <w:t>Of the three non-</w:t>
      </w:r>
      <w:r w:rsidR="00FD0399">
        <w:rPr>
          <w:rFonts w:ascii="Arial" w:hAnsi="Arial" w:cs="Arial"/>
          <w:sz w:val="20"/>
          <w:szCs w:val="20"/>
        </w:rPr>
        <w:t>achieved targets CSS: 18 was slightly missed a</w:t>
      </w:r>
      <w:r w:rsidR="00337F0D">
        <w:rPr>
          <w:rFonts w:ascii="Arial" w:hAnsi="Arial" w:cs="Arial"/>
          <w:sz w:val="20"/>
          <w:szCs w:val="20"/>
        </w:rPr>
        <w:t>s only one LED meeting did not s</w:t>
      </w:r>
      <w:r w:rsidR="00AA4ED0">
        <w:rPr>
          <w:rFonts w:ascii="Arial" w:hAnsi="Arial" w:cs="Arial"/>
          <w:sz w:val="20"/>
          <w:szCs w:val="20"/>
        </w:rPr>
        <w:t>it during the quarter. Of the 12</w:t>
      </w:r>
      <w:r w:rsidR="00337F0D">
        <w:rPr>
          <w:rFonts w:ascii="Arial" w:hAnsi="Arial" w:cs="Arial"/>
          <w:sz w:val="20"/>
          <w:szCs w:val="20"/>
        </w:rPr>
        <w:t xml:space="preserve"> targets that were achieved, 08 targets CSS 5, 8</w:t>
      </w:r>
      <w:r w:rsidR="00F25078">
        <w:rPr>
          <w:rFonts w:ascii="Arial" w:hAnsi="Arial" w:cs="Arial"/>
          <w:sz w:val="20"/>
          <w:szCs w:val="20"/>
        </w:rPr>
        <w:t>, 10,</w:t>
      </w:r>
      <w:r w:rsidR="00E278F9">
        <w:rPr>
          <w:rFonts w:ascii="Arial" w:hAnsi="Arial" w:cs="Arial"/>
          <w:sz w:val="20"/>
          <w:szCs w:val="20"/>
        </w:rPr>
        <w:t xml:space="preserve"> </w:t>
      </w:r>
      <w:r w:rsidR="00F25078">
        <w:rPr>
          <w:rFonts w:ascii="Arial" w:hAnsi="Arial" w:cs="Arial"/>
          <w:sz w:val="20"/>
          <w:szCs w:val="20"/>
        </w:rPr>
        <w:t>11,</w:t>
      </w:r>
      <w:r w:rsidR="005336A6">
        <w:rPr>
          <w:rFonts w:ascii="Arial" w:hAnsi="Arial" w:cs="Arial"/>
          <w:sz w:val="20"/>
          <w:szCs w:val="20"/>
        </w:rPr>
        <w:t xml:space="preserve"> </w:t>
      </w:r>
      <w:r w:rsidR="00F25078">
        <w:rPr>
          <w:rFonts w:ascii="Arial" w:hAnsi="Arial" w:cs="Arial"/>
          <w:sz w:val="20"/>
          <w:szCs w:val="20"/>
        </w:rPr>
        <w:t>12,</w:t>
      </w:r>
      <w:r w:rsidR="00E278F9">
        <w:rPr>
          <w:rFonts w:ascii="Arial" w:hAnsi="Arial" w:cs="Arial"/>
          <w:sz w:val="20"/>
          <w:szCs w:val="20"/>
        </w:rPr>
        <w:t xml:space="preserve"> </w:t>
      </w:r>
      <w:r w:rsidR="00F25078">
        <w:rPr>
          <w:rFonts w:ascii="Arial" w:hAnsi="Arial" w:cs="Arial"/>
          <w:sz w:val="20"/>
          <w:szCs w:val="20"/>
        </w:rPr>
        <w:t>14,</w:t>
      </w:r>
      <w:r w:rsidR="00E278F9">
        <w:rPr>
          <w:rFonts w:ascii="Arial" w:hAnsi="Arial" w:cs="Arial"/>
          <w:sz w:val="20"/>
          <w:szCs w:val="20"/>
        </w:rPr>
        <w:t xml:space="preserve"> </w:t>
      </w:r>
      <w:r w:rsidR="00F25078">
        <w:rPr>
          <w:rFonts w:ascii="Arial" w:hAnsi="Arial" w:cs="Arial"/>
          <w:sz w:val="20"/>
          <w:szCs w:val="20"/>
        </w:rPr>
        <w:t>15</w:t>
      </w:r>
      <w:r w:rsidR="00E278F9">
        <w:rPr>
          <w:rFonts w:ascii="Arial" w:hAnsi="Arial" w:cs="Arial"/>
          <w:sz w:val="20"/>
          <w:szCs w:val="20"/>
        </w:rPr>
        <w:t xml:space="preserve"> </w:t>
      </w:r>
      <w:r w:rsidR="00337F0D">
        <w:rPr>
          <w:rFonts w:ascii="Arial" w:hAnsi="Arial" w:cs="Arial"/>
          <w:sz w:val="20"/>
          <w:szCs w:val="20"/>
        </w:rPr>
        <w:t>&amp; 21 were over achieved during the quarter which make</w:t>
      </w:r>
      <w:r w:rsidR="00187C1E">
        <w:rPr>
          <w:rFonts w:ascii="Arial" w:hAnsi="Arial" w:cs="Arial"/>
          <w:sz w:val="20"/>
          <w:szCs w:val="20"/>
        </w:rPr>
        <w:t>s</w:t>
      </w:r>
      <w:r w:rsidR="00337F0D">
        <w:rPr>
          <w:rFonts w:ascii="Arial" w:hAnsi="Arial" w:cs="Arial"/>
          <w:sz w:val="20"/>
          <w:szCs w:val="20"/>
        </w:rPr>
        <w:t xml:space="preserve"> 73% of the department’s overachievement </w:t>
      </w:r>
      <w:r w:rsidR="00AF0849">
        <w:rPr>
          <w:rFonts w:ascii="Arial" w:hAnsi="Arial" w:cs="Arial"/>
          <w:sz w:val="20"/>
          <w:szCs w:val="20"/>
        </w:rPr>
        <w:t>in Q2 of 2020/21 financial year.</w:t>
      </w:r>
      <w:r w:rsidR="00337F0D">
        <w:rPr>
          <w:rFonts w:ascii="Arial" w:hAnsi="Arial" w:cs="Arial"/>
          <w:sz w:val="20"/>
          <w:szCs w:val="20"/>
        </w:rPr>
        <w:t xml:space="preserve"> </w:t>
      </w:r>
      <w:r w:rsidR="00AF0849">
        <w:rPr>
          <w:rFonts w:ascii="Arial" w:hAnsi="Arial" w:cs="Arial"/>
          <w:sz w:val="20"/>
          <w:szCs w:val="20"/>
        </w:rPr>
        <w:t>The attached performance report and the table</w:t>
      </w:r>
      <w:r w:rsidR="00AA4ED0">
        <w:rPr>
          <w:rFonts w:ascii="Arial" w:hAnsi="Arial" w:cs="Arial"/>
          <w:sz w:val="20"/>
          <w:szCs w:val="20"/>
        </w:rPr>
        <w:t xml:space="preserve"> and the graphical presentation</w:t>
      </w:r>
      <w:r w:rsidR="00AF0849">
        <w:rPr>
          <w:rFonts w:ascii="Arial" w:hAnsi="Arial" w:cs="Arial"/>
          <w:sz w:val="20"/>
          <w:szCs w:val="20"/>
        </w:rPr>
        <w:t xml:space="preserve"> below is indicating consolidated information on how the department has performed </w:t>
      </w:r>
      <w:r w:rsidR="005336A6">
        <w:rPr>
          <w:rFonts w:ascii="Arial" w:hAnsi="Arial" w:cs="Arial"/>
          <w:sz w:val="20"/>
          <w:szCs w:val="20"/>
        </w:rPr>
        <w:t>taking into consideration achi</w:t>
      </w:r>
      <w:r w:rsidR="00AA4ED0">
        <w:rPr>
          <w:rFonts w:ascii="Arial" w:hAnsi="Arial" w:cs="Arial"/>
          <w:sz w:val="20"/>
          <w:szCs w:val="20"/>
        </w:rPr>
        <w:t xml:space="preserve">eved targets for both quarters at the mid-year of 2020/21 financial year. </w:t>
      </w:r>
    </w:p>
    <w:p w14:paraId="6FF73610" w14:textId="5746C178" w:rsidR="00AF0849" w:rsidRPr="00AF0849" w:rsidRDefault="00AF0849" w:rsidP="00385F9B">
      <w:pPr>
        <w:jc w:val="both"/>
        <w:rPr>
          <w:rFonts w:ascii="Arial" w:hAnsi="Arial" w:cs="Arial"/>
          <w:b/>
          <w:sz w:val="20"/>
          <w:szCs w:val="20"/>
        </w:rPr>
      </w:pPr>
      <w:r>
        <w:rPr>
          <w:rFonts w:ascii="Arial" w:hAnsi="Arial" w:cs="Arial"/>
          <w:b/>
          <w:sz w:val="20"/>
          <w:szCs w:val="20"/>
        </w:rPr>
        <w:t xml:space="preserve">Departmental </w:t>
      </w:r>
      <w:r w:rsidRPr="00AF0849">
        <w:rPr>
          <w:rFonts w:ascii="Arial" w:hAnsi="Arial" w:cs="Arial"/>
          <w:b/>
          <w:sz w:val="20"/>
          <w:szCs w:val="20"/>
        </w:rPr>
        <w:t>Performance Highlights</w:t>
      </w:r>
    </w:p>
    <w:p w14:paraId="6185B296" w14:textId="0033C9E0" w:rsidR="007C2407" w:rsidRPr="00D33507" w:rsidRDefault="00AF0849" w:rsidP="00385F9B">
      <w:pPr>
        <w:jc w:val="both"/>
        <w:rPr>
          <w:rFonts w:ascii="Arial" w:hAnsi="Arial" w:cs="Arial"/>
          <w:sz w:val="20"/>
          <w:szCs w:val="20"/>
        </w:rPr>
      </w:pPr>
      <w:r>
        <w:rPr>
          <w:rFonts w:ascii="Arial" w:hAnsi="Arial" w:cs="Arial"/>
          <w:sz w:val="20"/>
          <w:szCs w:val="20"/>
        </w:rPr>
        <w:t xml:space="preserve">CSS 09 was not planned for </w:t>
      </w:r>
      <w:r w:rsidR="00237DF7">
        <w:rPr>
          <w:rFonts w:ascii="Arial" w:hAnsi="Arial" w:cs="Arial"/>
          <w:sz w:val="20"/>
          <w:szCs w:val="20"/>
        </w:rPr>
        <w:t>Quarter 1&amp;2</w:t>
      </w:r>
      <w:r>
        <w:rPr>
          <w:rFonts w:ascii="Arial" w:hAnsi="Arial" w:cs="Arial"/>
          <w:sz w:val="20"/>
          <w:szCs w:val="20"/>
        </w:rPr>
        <w:t xml:space="preserve"> in the SDBIP</w:t>
      </w:r>
      <w:r w:rsidR="00237DF7">
        <w:rPr>
          <w:rFonts w:ascii="Arial" w:hAnsi="Arial" w:cs="Arial"/>
          <w:sz w:val="20"/>
          <w:szCs w:val="20"/>
        </w:rPr>
        <w:t xml:space="preserve"> however the department </w:t>
      </w:r>
      <w:r w:rsidR="00F427DF">
        <w:rPr>
          <w:rFonts w:ascii="Arial" w:hAnsi="Arial" w:cs="Arial"/>
          <w:sz w:val="20"/>
          <w:szCs w:val="20"/>
        </w:rPr>
        <w:t>was proactive</w:t>
      </w:r>
      <w:r>
        <w:rPr>
          <w:rFonts w:ascii="Arial" w:hAnsi="Arial" w:cs="Arial"/>
          <w:sz w:val="20"/>
          <w:szCs w:val="20"/>
        </w:rPr>
        <w:t xml:space="preserve"> enough</w:t>
      </w:r>
      <w:r w:rsidR="00237DF7">
        <w:rPr>
          <w:rFonts w:ascii="Arial" w:hAnsi="Arial" w:cs="Arial"/>
          <w:sz w:val="20"/>
          <w:szCs w:val="20"/>
        </w:rPr>
        <w:t xml:space="preserve"> to conduct 05 library outreach programmes </w:t>
      </w:r>
      <w:r w:rsidR="00F427DF">
        <w:rPr>
          <w:rFonts w:ascii="Arial" w:hAnsi="Arial" w:cs="Arial"/>
          <w:sz w:val="20"/>
          <w:szCs w:val="20"/>
        </w:rPr>
        <w:t xml:space="preserve">within this quarter. </w:t>
      </w:r>
    </w:p>
    <w:p w14:paraId="5B150138" w14:textId="4A5F1ECC" w:rsidR="003F24AF" w:rsidRPr="00EB5F93" w:rsidRDefault="00D33507" w:rsidP="00EB5F93">
      <w:pPr>
        <w:spacing w:after="0"/>
        <w:outlineLvl w:val="1"/>
        <w:rPr>
          <w:rFonts w:ascii="Arial" w:hAnsi="Arial"/>
          <w:b/>
          <w:sz w:val="20"/>
          <w:szCs w:val="20"/>
        </w:rPr>
      </w:pPr>
      <w:bookmarkStart w:id="199" w:name="_Toc30172862"/>
      <w:bookmarkStart w:id="200" w:name="_Toc30173038"/>
      <w:bookmarkStart w:id="201" w:name="_Toc30173642"/>
      <w:bookmarkStart w:id="202" w:name="_Toc30173866"/>
      <w:bookmarkStart w:id="203" w:name="_Toc30173974"/>
      <w:bookmarkStart w:id="204" w:name="_Toc30174083"/>
      <w:bookmarkStart w:id="205" w:name="_Toc30174186"/>
      <w:bookmarkStart w:id="206" w:name="_Toc30174258"/>
      <w:bookmarkStart w:id="207" w:name="_Toc61962844"/>
      <w:r w:rsidRPr="00034798">
        <w:rPr>
          <w:rFonts w:ascii="Arial" w:hAnsi="Arial"/>
          <w:b/>
          <w:sz w:val="20"/>
          <w:szCs w:val="20"/>
        </w:rPr>
        <w:t xml:space="preserve">Targets Achieved </w:t>
      </w:r>
      <w:r>
        <w:rPr>
          <w:rFonts w:ascii="Arial" w:hAnsi="Arial"/>
          <w:b/>
          <w:sz w:val="20"/>
          <w:szCs w:val="20"/>
        </w:rPr>
        <w:t xml:space="preserve">01 </w:t>
      </w:r>
      <w:r w:rsidRPr="00034798">
        <w:rPr>
          <w:rFonts w:ascii="Arial" w:hAnsi="Arial"/>
          <w:b/>
          <w:sz w:val="20"/>
          <w:szCs w:val="20"/>
        </w:rPr>
        <w:t>July</w:t>
      </w:r>
      <w:r>
        <w:rPr>
          <w:rFonts w:ascii="Arial" w:hAnsi="Arial"/>
          <w:b/>
          <w:sz w:val="20"/>
          <w:szCs w:val="20"/>
        </w:rPr>
        <w:t xml:space="preserve"> </w:t>
      </w:r>
      <w:r w:rsidRPr="00034798">
        <w:rPr>
          <w:rFonts w:ascii="Arial" w:hAnsi="Arial"/>
          <w:b/>
          <w:sz w:val="20"/>
          <w:szCs w:val="20"/>
        </w:rPr>
        <w:t>–</w:t>
      </w:r>
      <w:r>
        <w:rPr>
          <w:rFonts w:ascii="Arial" w:hAnsi="Arial"/>
          <w:b/>
          <w:sz w:val="20"/>
          <w:szCs w:val="20"/>
        </w:rPr>
        <w:t xml:space="preserve">31 </w:t>
      </w:r>
      <w:r w:rsidRPr="00034798">
        <w:rPr>
          <w:rFonts w:ascii="Arial" w:hAnsi="Arial"/>
          <w:b/>
          <w:sz w:val="20"/>
          <w:szCs w:val="20"/>
        </w:rPr>
        <w:t>December 20</w:t>
      </w:r>
      <w:bookmarkEnd w:id="199"/>
      <w:bookmarkEnd w:id="200"/>
      <w:bookmarkEnd w:id="201"/>
      <w:bookmarkEnd w:id="202"/>
      <w:bookmarkEnd w:id="203"/>
      <w:bookmarkEnd w:id="204"/>
      <w:bookmarkEnd w:id="205"/>
      <w:bookmarkEnd w:id="206"/>
      <w:r w:rsidR="00233DBE">
        <w:rPr>
          <w:rFonts w:ascii="Arial" w:hAnsi="Arial"/>
          <w:b/>
          <w:sz w:val="20"/>
          <w:szCs w:val="20"/>
        </w:rPr>
        <w:t>20</w:t>
      </w:r>
      <w:bookmarkEnd w:id="207"/>
    </w:p>
    <w:tbl>
      <w:tblPr>
        <w:tblpPr w:leftFromText="180" w:rightFromText="180" w:bottomFromText="160" w:vertAnchor="text" w:horzAnchor="page" w:tblpX="1840" w:tblpY="215"/>
        <w:tblW w:w="9016" w:type="dxa"/>
        <w:tblLook w:val="04A0" w:firstRow="1" w:lastRow="0" w:firstColumn="1" w:lastColumn="0" w:noHBand="0" w:noVBand="1"/>
      </w:tblPr>
      <w:tblGrid>
        <w:gridCol w:w="1717"/>
        <w:gridCol w:w="1763"/>
        <w:gridCol w:w="1982"/>
        <w:gridCol w:w="1969"/>
        <w:gridCol w:w="1585"/>
      </w:tblGrid>
      <w:tr w:rsidR="00AF0849" w:rsidRPr="00445427" w14:paraId="2117E677" w14:textId="78515391" w:rsidTr="00582F14">
        <w:trPr>
          <w:trHeight w:val="558"/>
        </w:trPr>
        <w:tc>
          <w:tcPr>
            <w:tcW w:w="1717" w:type="dxa"/>
            <w:tcBorders>
              <w:top w:val="single" w:sz="4" w:space="0" w:color="auto"/>
              <w:left w:val="single" w:sz="4" w:space="0" w:color="auto"/>
              <w:bottom w:val="single" w:sz="4" w:space="0" w:color="auto"/>
              <w:right w:val="single" w:sz="4" w:space="0" w:color="auto"/>
            </w:tcBorders>
            <w:shd w:val="clear" w:color="auto" w:fill="C00000"/>
            <w:hideMark/>
          </w:tcPr>
          <w:p w14:paraId="4FDCB435" w14:textId="77777777" w:rsidR="00582F14" w:rsidRDefault="00582F14" w:rsidP="006B5512">
            <w:pPr>
              <w:rPr>
                <w:rFonts w:ascii="Arial" w:hAnsi="Arial" w:cs="Arial"/>
                <w:b/>
                <w:color w:val="FFFFFF"/>
                <w:sz w:val="20"/>
                <w:szCs w:val="20"/>
              </w:rPr>
            </w:pPr>
            <w:r>
              <w:rPr>
                <w:rFonts w:ascii="Arial" w:hAnsi="Arial" w:cs="Arial"/>
                <w:b/>
                <w:color w:val="FFFFFF"/>
                <w:sz w:val="20"/>
                <w:szCs w:val="20"/>
              </w:rPr>
              <w:t>Total no. of targets</w:t>
            </w:r>
          </w:p>
        </w:tc>
        <w:tc>
          <w:tcPr>
            <w:tcW w:w="1763" w:type="dxa"/>
            <w:tcBorders>
              <w:top w:val="single" w:sz="4" w:space="0" w:color="auto"/>
              <w:left w:val="nil"/>
              <w:bottom w:val="single" w:sz="4" w:space="0" w:color="auto"/>
              <w:right w:val="single" w:sz="4" w:space="0" w:color="auto"/>
            </w:tcBorders>
            <w:shd w:val="clear" w:color="auto" w:fill="C00000"/>
            <w:hideMark/>
          </w:tcPr>
          <w:p w14:paraId="60FA408D" w14:textId="77777777" w:rsidR="00582F14" w:rsidRDefault="00582F14" w:rsidP="006B5512">
            <w:pPr>
              <w:rPr>
                <w:rFonts w:ascii="Arial" w:hAnsi="Arial" w:cs="Arial"/>
                <w:b/>
                <w:color w:val="FFFFFF"/>
                <w:sz w:val="20"/>
                <w:szCs w:val="20"/>
              </w:rPr>
            </w:pPr>
            <w:r>
              <w:rPr>
                <w:rFonts w:ascii="Arial" w:hAnsi="Arial" w:cs="Arial"/>
                <w:b/>
                <w:color w:val="FFFFFF"/>
                <w:sz w:val="20"/>
                <w:szCs w:val="20"/>
              </w:rPr>
              <w:t>Targets Achieved</w:t>
            </w:r>
          </w:p>
        </w:tc>
        <w:tc>
          <w:tcPr>
            <w:tcW w:w="1982" w:type="dxa"/>
            <w:tcBorders>
              <w:top w:val="single" w:sz="4" w:space="0" w:color="auto"/>
              <w:left w:val="nil"/>
              <w:bottom w:val="single" w:sz="4" w:space="0" w:color="auto"/>
              <w:right w:val="single" w:sz="4" w:space="0" w:color="auto"/>
            </w:tcBorders>
            <w:shd w:val="clear" w:color="auto" w:fill="C00000"/>
            <w:hideMark/>
          </w:tcPr>
          <w:p w14:paraId="7B8B3F41" w14:textId="77777777" w:rsidR="00582F14" w:rsidRDefault="00582F14" w:rsidP="006B5512">
            <w:pPr>
              <w:rPr>
                <w:rFonts w:ascii="Arial" w:hAnsi="Arial" w:cs="Arial"/>
                <w:b/>
                <w:color w:val="FFFFFF"/>
                <w:sz w:val="20"/>
                <w:szCs w:val="20"/>
              </w:rPr>
            </w:pPr>
            <w:r>
              <w:rPr>
                <w:rFonts w:ascii="Arial" w:hAnsi="Arial" w:cs="Arial"/>
                <w:b/>
                <w:color w:val="FFFFFF"/>
                <w:sz w:val="20"/>
                <w:szCs w:val="20"/>
              </w:rPr>
              <w:t>Targets Not Achieved</w:t>
            </w:r>
          </w:p>
        </w:tc>
        <w:tc>
          <w:tcPr>
            <w:tcW w:w="1969" w:type="dxa"/>
            <w:tcBorders>
              <w:top w:val="single" w:sz="4" w:space="0" w:color="auto"/>
              <w:left w:val="nil"/>
              <w:bottom w:val="single" w:sz="4" w:space="0" w:color="auto"/>
              <w:right w:val="single" w:sz="4" w:space="0" w:color="auto"/>
            </w:tcBorders>
            <w:shd w:val="clear" w:color="auto" w:fill="C00000"/>
          </w:tcPr>
          <w:p w14:paraId="28069F3E" w14:textId="77777777" w:rsidR="00582F14" w:rsidRDefault="00582F14" w:rsidP="006B5512">
            <w:pPr>
              <w:rPr>
                <w:rFonts w:ascii="Arial" w:hAnsi="Arial" w:cs="Arial"/>
                <w:b/>
                <w:color w:val="FFFFFF"/>
                <w:sz w:val="20"/>
                <w:szCs w:val="20"/>
              </w:rPr>
            </w:pPr>
            <w:r>
              <w:rPr>
                <w:rFonts w:ascii="Arial" w:hAnsi="Arial" w:cs="Arial"/>
                <w:b/>
                <w:color w:val="FFFFFF"/>
                <w:sz w:val="20"/>
                <w:szCs w:val="20"/>
              </w:rPr>
              <w:t>Not Applicable in Q2</w:t>
            </w:r>
          </w:p>
        </w:tc>
        <w:tc>
          <w:tcPr>
            <w:tcW w:w="1585" w:type="dxa"/>
            <w:tcBorders>
              <w:top w:val="single" w:sz="4" w:space="0" w:color="auto"/>
              <w:left w:val="nil"/>
              <w:bottom w:val="single" w:sz="4" w:space="0" w:color="auto"/>
              <w:right w:val="single" w:sz="4" w:space="0" w:color="auto"/>
            </w:tcBorders>
            <w:shd w:val="clear" w:color="auto" w:fill="C00000"/>
          </w:tcPr>
          <w:p w14:paraId="62FFE3D3" w14:textId="3C7AEEC1" w:rsidR="00582F14" w:rsidRDefault="00AF0849" w:rsidP="006B5512">
            <w:pPr>
              <w:rPr>
                <w:rFonts w:ascii="Arial" w:hAnsi="Arial" w:cs="Arial"/>
                <w:b/>
                <w:color w:val="FFFFFF"/>
                <w:sz w:val="20"/>
                <w:szCs w:val="20"/>
              </w:rPr>
            </w:pPr>
            <w:r>
              <w:rPr>
                <w:rFonts w:ascii="Arial" w:hAnsi="Arial" w:cs="Arial"/>
                <w:b/>
                <w:color w:val="FFFFFF"/>
                <w:sz w:val="20"/>
                <w:szCs w:val="20"/>
              </w:rPr>
              <w:t xml:space="preserve">Q1 &amp; Q2 Consolidated </w:t>
            </w:r>
            <w:r w:rsidR="00582F14">
              <w:rPr>
                <w:rFonts w:ascii="Arial" w:hAnsi="Arial" w:cs="Arial"/>
                <w:b/>
                <w:color w:val="FFFFFF"/>
                <w:sz w:val="20"/>
                <w:szCs w:val="20"/>
              </w:rPr>
              <w:t>Performance at Mid-year 31 December 2020</w:t>
            </w:r>
          </w:p>
        </w:tc>
      </w:tr>
      <w:tr w:rsidR="00AF0849" w:rsidRPr="00445427" w14:paraId="07D04F3B" w14:textId="0DD40320" w:rsidTr="00582F14">
        <w:trPr>
          <w:trHeight w:val="300"/>
        </w:trPr>
        <w:tc>
          <w:tcPr>
            <w:tcW w:w="1717" w:type="dxa"/>
            <w:tcBorders>
              <w:top w:val="single" w:sz="4" w:space="0" w:color="auto"/>
              <w:left w:val="single" w:sz="4" w:space="0" w:color="auto"/>
              <w:bottom w:val="single" w:sz="4" w:space="0" w:color="auto"/>
              <w:right w:val="single" w:sz="4" w:space="0" w:color="auto"/>
            </w:tcBorders>
            <w:hideMark/>
          </w:tcPr>
          <w:p w14:paraId="2CF12E03" w14:textId="77777777" w:rsidR="00582F14" w:rsidRDefault="00582F14" w:rsidP="006B5512">
            <w:pPr>
              <w:jc w:val="right"/>
              <w:rPr>
                <w:rFonts w:ascii="Arial" w:hAnsi="Arial" w:cs="Arial"/>
                <w:b/>
                <w:color w:val="000000"/>
                <w:sz w:val="20"/>
                <w:szCs w:val="20"/>
              </w:rPr>
            </w:pPr>
            <w:r>
              <w:rPr>
                <w:rFonts w:ascii="Arial" w:hAnsi="Arial" w:cs="Arial"/>
                <w:b/>
                <w:color w:val="000000"/>
                <w:sz w:val="20"/>
                <w:szCs w:val="20"/>
              </w:rPr>
              <w:t>23</w:t>
            </w:r>
          </w:p>
        </w:tc>
        <w:tc>
          <w:tcPr>
            <w:tcW w:w="1763" w:type="dxa"/>
            <w:tcBorders>
              <w:top w:val="single" w:sz="4" w:space="0" w:color="auto"/>
              <w:left w:val="nil"/>
              <w:bottom w:val="single" w:sz="4" w:space="0" w:color="auto"/>
              <w:right w:val="single" w:sz="4" w:space="0" w:color="auto"/>
            </w:tcBorders>
          </w:tcPr>
          <w:p w14:paraId="3B7EE735" w14:textId="4F1DEA12" w:rsidR="00582F14" w:rsidRDefault="00FB2062" w:rsidP="006B5512">
            <w:pPr>
              <w:jc w:val="right"/>
              <w:rPr>
                <w:rFonts w:ascii="Arial" w:hAnsi="Arial" w:cs="Arial"/>
                <w:b/>
                <w:color w:val="000000"/>
                <w:sz w:val="20"/>
                <w:szCs w:val="20"/>
              </w:rPr>
            </w:pPr>
            <w:r>
              <w:rPr>
                <w:rFonts w:ascii="Arial" w:hAnsi="Arial" w:cs="Arial"/>
                <w:b/>
                <w:color w:val="000000"/>
                <w:sz w:val="20"/>
                <w:szCs w:val="20"/>
              </w:rPr>
              <w:t>12</w:t>
            </w:r>
          </w:p>
        </w:tc>
        <w:tc>
          <w:tcPr>
            <w:tcW w:w="1982" w:type="dxa"/>
            <w:tcBorders>
              <w:top w:val="single" w:sz="4" w:space="0" w:color="auto"/>
              <w:left w:val="nil"/>
              <w:bottom w:val="single" w:sz="4" w:space="0" w:color="auto"/>
              <w:right w:val="single" w:sz="4" w:space="0" w:color="auto"/>
            </w:tcBorders>
          </w:tcPr>
          <w:p w14:paraId="0E78A5FD" w14:textId="77777777" w:rsidR="00582F14" w:rsidRDefault="00582F14" w:rsidP="006B5512">
            <w:pPr>
              <w:jc w:val="right"/>
              <w:rPr>
                <w:rFonts w:ascii="Arial" w:hAnsi="Arial" w:cs="Arial"/>
                <w:b/>
                <w:color w:val="000000"/>
                <w:sz w:val="20"/>
                <w:szCs w:val="20"/>
              </w:rPr>
            </w:pPr>
            <w:r>
              <w:rPr>
                <w:rFonts w:ascii="Arial" w:hAnsi="Arial" w:cs="Arial"/>
                <w:b/>
                <w:color w:val="000000"/>
                <w:sz w:val="20"/>
                <w:szCs w:val="20"/>
              </w:rPr>
              <w:t>03</w:t>
            </w:r>
          </w:p>
        </w:tc>
        <w:tc>
          <w:tcPr>
            <w:tcW w:w="1969" w:type="dxa"/>
            <w:tcBorders>
              <w:top w:val="single" w:sz="4" w:space="0" w:color="auto"/>
              <w:left w:val="nil"/>
              <w:bottom w:val="single" w:sz="4" w:space="0" w:color="auto"/>
              <w:right w:val="single" w:sz="4" w:space="0" w:color="auto"/>
            </w:tcBorders>
          </w:tcPr>
          <w:p w14:paraId="45848432" w14:textId="0B1A4978" w:rsidR="00582F14" w:rsidRDefault="00FB2062" w:rsidP="006B5512">
            <w:pPr>
              <w:jc w:val="right"/>
              <w:rPr>
                <w:rFonts w:ascii="Arial" w:hAnsi="Arial" w:cs="Arial"/>
                <w:b/>
                <w:color w:val="000000"/>
                <w:sz w:val="20"/>
                <w:szCs w:val="20"/>
              </w:rPr>
            </w:pPr>
            <w:r>
              <w:rPr>
                <w:rFonts w:ascii="Arial" w:hAnsi="Arial" w:cs="Arial"/>
                <w:b/>
                <w:color w:val="000000"/>
                <w:sz w:val="20"/>
                <w:szCs w:val="20"/>
              </w:rPr>
              <w:t>08</w:t>
            </w:r>
          </w:p>
        </w:tc>
        <w:tc>
          <w:tcPr>
            <w:tcW w:w="1585" w:type="dxa"/>
            <w:tcBorders>
              <w:top w:val="single" w:sz="4" w:space="0" w:color="auto"/>
              <w:left w:val="nil"/>
              <w:bottom w:val="single" w:sz="4" w:space="0" w:color="auto"/>
              <w:right w:val="single" w:sz="4" w:space="0" w:color="auto"/>
            </w:tcBorders>
          </w:tcPr>
          <w:p w14:paraId="1988A491" w14:textId="3E8C62E4" w:rsidR="00582F14" w:rsidRDefault="00AA4ED0" w:rsidP="006B5512">
            <w:pPr>
              <w:jc w:val="right"/>
              <w:rPr>
                <w:rFonts w:ascii="Arial" w:hAnsi="Arial" w:cs="Arial"/>
                <w:b/>
                <w:color w:val="000000"/>
                <w:sz w:val="20"/>
                <w:szCs w:val="20"/>
              </w:rPr>
            </w:pPr>
            <w:r>
              <w:rPr>
                <w:rFonts w:ascii="Arial" w:hAnsi="Arial" w:cs="Arial"/>
                <w:b/>
                <w:color w:val="000000"/>
                <w:sz w:val="20"/>
                <w:szCs w:val="20"/>
              </w:rPr>
              <w:t>14</w:t>
            </w:r>
          </w:p>
        </w:tc>
      </w:tr>
      <w:tr w:rsidR="00AF0849" w:rsidRPr="00445427" w14:paraId="23DE58B2" w14:textId="2A1DFC29" w:rsidTr="00582F14">
        <w:trPr>
          <w:trHeight w:val="344"/>
        </w:trPr>
        <w:tc>
          <w:tcPr>
            <w:tcW w:w="1717" w:type="dxa"/>
            <w:tcBorders>
              <w:top w:val="single" w:sz="4" w:space="0" w:color="auto"/>
              <w:left w:val="single" w:sz="4" w:space="0" w:color="auto"/>
              <w:bottom w:val="single" w:sz="4" w:space="0" w:color="auto"/>
              <w:right w:val="single" w:sz="4" w:space="0" w:color="auto"/>
            </w:tcBorders>
            <w:hideMark/>
          </w:tcPr>
          <w:p w14:paraId="5D7C2E79" w14:textId="77777777" w:rsidR="00582F14" w:rsidRDefault="00582F14" w:rsidP="006B5512">
            <w:pPr>
              <w:rPr>
                <w:rFonts w:ascii="Arial" w:hAnsi="Arial" w:cs="Arial"/>
                <w:b/>
                <w:color w:val="000000"/>
                <w:sz w:val="20"/>
                <w:szCs w:val="20"/>
              </w:rPr>
            </w:pPr>
            <w:r>
              <w:rPr>
                <w:rFonts w:ascii="Arial" w:hAnsi="Arial" w:cs="Arial"/>
                <w:b/>
                <w:color w:val="000000"/>
                <w:sz w:val="20"/>
                <w:szCs w:val="20"/>
              </w:rPr>
              <w:t>Percentage achievement</w:t>
            </w:r>
          </w:p>
        </w:tc>
        <w:tc>
          <w:tcPr>
            <w:tcW w:w="1763" w:type="dxa"/>
            <w:tcBorders>
              <w:top w:val="single" w:sz="4" w:space="0" w:color="auto"/>
              <w:left w:val="nil"/>
              <w:bottom w:val="single" w:sz="4" w:space="0" w:color="auto"/>
              <w:right w:val="single" w:sz="4" w:space="0" w:color="auto"/>
            </w:tcBorders>
          </w:tcPr>
          <w:p w14:paraId="000FBFF6" w14:textId="60617F72" w:rsidR="00582F14" w:rsidRDefault="00FB2062" w:rsidP="006B5512">
            <w:pPr>
              <w:jc w:val="right"/>
              <w:rPr>
                <w:rFonts w:ascii="Arial" w:hAnsi="Arial" w:cs="Arial"/>
                <w:b/>
                <w:color w:val="000000"/>
                <w:sz w:val="20"/>
                <w:szCs w:val="20"/>
              </w:rPr>
            </w:pPr>
            <w:r>
              <w:rPr>
                <w:rFonts w:ascii="Arial" w:hAnsi="Arial" w:cs="Arial"/>
                <w:b/>
                <w:color w:val="000000"/>
                <w:sz w:val="20"/>
                <w:szCs w:val="20"/>
              </w:rPr>
              <w:t>80</w:t>
            </w:r>
            <w:r w:rsidR="00582F14">
              <w:rPr>
                <w:rFonts w:ascii="Arial" w:hAnsi="Arial" w:cs="Arial"/>
                <w:b/>
                <w:color w:val="000000"/>
                <w:sz w:val="20"/>
                <w:szCs w:val="20"/>
              </w:rPr>
              <w:t>%</w:t>
            </w:r>
          </w:p>
        </w:tc>
        <w:tc>
          <w:tcPr>
            <w:tcW w:w="1982" w:type="dxa"/>
            <w:tcBorders>
              <w:top w:val="single" w:sz="4" w:space="0" w:color="auto"/>
              <w:left w:val="nil"/>
              <w:bottom w:val="single" w:sz="4" w:space="0" w:color="auto"/>
              <w:right w:val="single" w:sz="4" w:space="0" w:color="auto"/>
            </w:tcBorders>
          </w:tcPr>
          <w:p w14:paraId="7743F856" w14:textId="3E811000" w:rsidR="00582F14" w:rsidRDefault="00FB2062" w:rsidP="006B5512">
            <w:pPr>
              <w:jc w:val="right"/>
              <w:rPr>
                <w:rFonts w:ascii="Arial" w:hAnsi="Arial" w:cs="Arial"/>
                <w:b/>
                <w:color w:val="000000"/>
                <w:sz w:val="20"/>
                <w:szCs w:val="20"/>
              </w:rPr>
            </w:pPr>
            <w:r>
              <w:rPr>
                <w:rFonts w:ascii="Arial" w:hAnsi="Arial" w:cs="Arial"/>
                <w:b/>
                <w:color w:val="000000"/>
                <w:sz w:val="20"/>
                <w:szCs w:val="20"/>
              </w:rPr>
              <w:t>20</w:t>
            </w:r>
            <w:r w:rsidR="00582F14">
              <w:rPr>
                <w:rFonts w:ascii="Arial" w:hAnsi="Arial" w:cs="Arial"/>
                <w:b/>
                <w:color w:val="000000"/>
                <w:sz w:val="20"/>
                <w:szCs w:val="20"/>
              </w:rPr>
              <w:t>%</w:t>
            </w:r>
          </w:p>
        </w:tc>
        <w:tc>
          <w:tcPr>
            <w:tcW w:w="1969" w:type="dxa"/>
            <w:tcBorders>
              <w:top w:val="single" w:sz="4" w:space="0" w:color="auto"/>
              <w:left w:val="nil"/>
              <w:bottom w:val="single" w:sz="4" w:space="0" w:color="auto"/>
              <w:right w:val="single" w:sz="4" w:space="0" w:color="auto"/>
            </w:tcBorders>
          </w:tcPr>
          <w:p w14:paraId="059AEF63" w14:textId="523CBAFB" w:rsidR="00582F14" w:rsidRDefault="00FB2062" w:rsidP="006B5512">
            <w:pPr>
              <w:jc w:val="right"/>
              <w:rPr>
                <w:rFonts w:ascii="Arial" w:hAnsi="Arial" w:cs="Arial"/>
                <w:b/>
                <w:color w:val="000000"/>
                <w:sz w:val="20"/>
                <w:szCs w:val="20"/>
              </w:rPr>
            </w:pPr>
            <w:r>
              <w:rPr>
                <w:rFonts w:ascii="Arial" w:hAnsi="Arial" w:cs="Arial"/>
                <w:b/>
                <w:color w:val="000000"/>
                <w:sz w:val="20"/>
                <w:szCs w:val="20"/>
              </w:rPr>
              <w:t>34.7</w:t>
            </w:r>
            <w:r w:rsidR="00582F14">
              <w:rPr>
                <w:rFonts w:ascii="Arial" w:hAnsi="Arial" w:cs="Arial"/>
                <w:b/>
                <w:color w:val="000000"/>
                <w:sz w:val="20"/>
                <w:szCs w:val="20"/>
              </w:rPr>
              <w:t>%</w:t>
            </w:r>
          </w:p>
        </w:tc>
        <w:tc>
          <w:tcPr>
            <w:tcW w:w="1585" w:type="dxa"/>
            <w:tcBorders>
              <w:top w:val="single" w:sz="4" w:space="0" w:color="auto"/>
              <w:left w:val="nil"/>
              <w:bottom w:val="single" w:sz="4" w:space="0" w:color="auto"/>
              <w:right w:val="single" w:sz="4" w:space="0" w:color="auto"/>
            </w:tcBorders>
          </w:tcPr>
          <w:p w14:paraId="5B5F6E2F" w14:textId="12633482" w:rsidR="00582F14" w:rsidRDefault="00AA4ED0" w:rsidP="006B5512">
            <w:pPr>
              <w:jc w:val="right"/>
              <w:rPr>
                <w:rFonts w:ascii="Arial" w:hAnsi="Arial" w:cs="Arial"/>
                <w:b/>
                <w:color w:val="000000"/>
                <w:sz w:val="20"/>
                <w:szCs w:val="20"/>
              </w:rPr>
            </w:pPr>
            <w:r>
              <w:rPr>
                <w:rFonts w:ascii="Arial" w:hAnsi="Arial" w:cs="Arial"/>
                <w:b/>
                <w:color w:val="000000"/>
                <w:sz w:val="20"/>
                <w:szCs w:val="20"/>
              </w:rPr>
              <w:t>73.6</w:t>
            </w:r>
            <w:r w:rsidR="00AF0849">
              <w:rPr>
                <w:rFonts w:ascii="Arial" w:hAnsi="Arial" w:cs="Arial"/>
                <w:b/>
                <w:color w:val="000000"/>
                <w:sz w:val="20"/>
                <w:szCs w:val="20"/>
              </w:rPr>
              <w:t>%</w:t>
            </w:r>
          </w:p>
        </w:tc>
      </w:tr>
    </w:tbl>
    <w:p w14:paraId="0A7E558B" w14:textId="3AA15A61" w:rsidR="00233DBE" w:rsidRDefault="00233DBE" w:rsidP="003F24AF">
      <w:pPr>
        <w:pStyle w:val="ListParagraph"/>
        <w:ind w:left="142"/>
        <w:rPr>
          <w:rFonts w:ascii="Arial" w:hAnsi="Arial" w:cs="Arial"/>
          <w:sz w:val="20"/>
          <w:szCs w:val="20"/>
        </w:rPr>
      </w:pPr>
    </w:p>
    <w:p w14:paraId="00E0EB51" w14:textId="4B706576" w:rsidR="00DF645C" w:rsidRDefault="00DF645C" w:rsidP="00233DBE">
      <w:pPr>
        <w:jc w:val="both"/>
        <w:rPr>
          <w:rFonts w:ascii="Arial" w:hAnsi="Arial" w:cs="Arial"/>
          <w:b/>
          <w:bCs/>
          <w:sz w:val="20"/>
          <w:szCs w:val="20"/>
        </w:rPr>
      </w:pPr>
    </w:p>
    <w:p w14:paraId="53A17D20" w14:textId="355EDDD2" w:rsidR="00DF645C" w:rsidRDefault="00AA4ED0" w:rsidP="00385F9B">
      <w:pPr>
        <w:jc w:val="both"/>
        <w:rPr>
          <w:rFonts w:ascii="Arial" w:hAnsi="Arial" w:cs="Arial"/>
          <w:b/>
          <w:bCs/>
          <w:sz w:val="20"/>
          <w:szCs w:val="20"/>
        </w:rPr>
        <w:sectPr w:rsidR="00DF645C">
          <w:footerReference w:type="default" r:id="rId10"/>
          <w:pgSz w:w="11906" w:h="16838"/>
          <w:pgMar w:top="1440" w:right="1440" w:bottom="1440" w:left="1440" w:header="708" w:footer="708" w:gutter="0"/>
          <w:cols w:space="708"/>
          <w:docGrid w:linePitch="360"/>
        </w:sectPr>
      </w:pPr>
      <w:r>
        <w:rPr>
          <w:noProof/>
          <w:lang w:val="en-US" w:eastAsia="en-US"/>
        </w:rPr>
        <w:lastRenderedPageBreak/>
        <w:drawing>
          <wp:inline distT="0" distB="0" distL="0" distR="0" wp14:anchorId="137087BA" wp14:editId="4343211C">
            <wp:extent cx="5181600" cy="3148012"/>
            <wp:effectExtent l="0" t="0" r="0"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8B313E" w14:textId="0D7556C0" w:rsidR="00DF645C" w:rsidRDefault="00DF645C" w:rsidP="00DF645C">
      <w:pPr>
        <w:pStyle w:val="ListParagraph"/>
        <w:ind w:left="644"/>
        <w:rPr>
          <w:rFonts w:ascii="Arial" w:hAnsi="Arial" w:cs="Arial"/>
          <w:b/>
          <w:bCs/>
          <w:noProof/>
          <w:color w:val="000000" w:themeColor="text1"/>
          <w:sz w:val="20"/>
          <w:szCs w:val="20"/>
        </w:rPr>
      </w:pPr>
      <w:r w:rsidRPr="00776589">
        <w:rPr>
          <w:rFonts w:ascii="Arial" w:hAnsi="Arial" w:cs="Arial"/>
          <w:b/>
          <w:bCs/>
          <w:noProof/>
          <w:color w:val="000000" w:themeColor="text1"/>
          <w:sz w:val="20"/>
          <w:szCs w:val="20"/>
        </w:rPr>
        <w:lastRenderedPageBreak/>
        <w:t>The table below lists indicators that were not achieved during the quarter and remedial actions thereof:</w:t>
      </w:r>
    </w:p>
    <w:p w14:paraId="698DCE14" w14:textId="77777777" w:rsidR="00D45A44" w:rsidRPr="00776589" w:rsidRDefault="00D45A44" w:rsidP="00DF645C">
      <w:pPr>
        <w:pStyle w:val="ListParagraph"/>
        <w:ind w:left="644"/>
        <w:rPr>
          <w:rFonts w:ascii="Arial" w:hAnsi="Arial" w:cs="Arial"/>
          <w:b/>
          <w:bCs/>
          <w:noProof/>
          <w:color w:val="000000" w:themeColor="text1"/>
          <w:sz w:val="20"/>
          <w:szCs w:val="20"/>
        </w:rPr>
      </w:pPr>
    </w:p>
    <w:tbl>
      <w:tblPr>
        <w:tblStyle w:val="TableGrid1"/>
        <w:tblW w:w="11070" w:type="dxa"/>
        <w:tblInd w:w="-815" w:type="dxa"/>
        <w:tblLayout w:type="fixed"/>
        <w:tblLook w:val="04A0" w:firstRow="1" w:lastRow="0" w:firstColumn="1" w:lastColumn="0" w:noHBand="0" w:noVBand="1"/>
      </w:tblPr>
      <w:tblGrid>
        <w:gridCol w:w="990"/>
        <w:gridCol w:w="1980"/>
        <w:gridCol w:w="1800"/>
        <w:gridCol w:w="1980"/>
        <w:gridCol w:w="2160"/>
        <w:gridCol w:w="2160"/>
      </w:tblGrid>
      <w:tr w:rsidR="00DF645C" w:rsidRPr="00D72729" w14:paraId="2886FDA2" w14:textId="77777777" w:rsidTr="00D72729">
        <w:trPr>
          <w:trHeight w:val="416"/>
        </w:trPr>
        <w:tc>
          <w:tcPr>
            <w:tcW w:w="11070" w:type="dxa"/>
            <w:gridSpan w:val="6"/>
            <w:shd w:val="clear" w:color="auto" w:fill="FFFF00"/>
          </w:tcPr>
          <w:p w14:paraId="1657272F" w14:textId="77777777" w:rsidR="00DF645C" w:rsidRPr="00D72729" w:rsidRDefault="00DF645C" w:rsidP="00CF528B">
            <w:pPr>
              <w:jc w:val="center"/>
              <w:rPr>
                <w:rFonts w:ascii="Arial" w:eastAsia="Calibri" w:hAnsi="Arial" w:cs="Arial"/>
                <w:b/>
                <w:sz w:val="18"/>
                <w:szCs w:val="18"/>
              </w:rPr>
            </w:pPr>
            <w:bookmarkStart w:id="208" w:name="_Hlk30161422"/>
            <w:r w:rsidRPr="00D72729">
              <w:rPr>
                <w:rFonts w:ascii="Arial" w:eastAsia="Calibri" w:hAnsi="Arial" w:cs="Arial"/>
                <w:b/>
                <w:sz w:val="18"/>
                <w:szCs w:val="18"/>
              </w:rPr>
              <w:t>COMMUNITY AND SOCIAL SERVICES DEPARTMENT</w:t>
            </w:r>
          </w:p>
        </w:tc>
      </w:tr>
      <w:tr w:rsidR="00DF645C" w:rsidRPr="00D72729" w14:paraId="06382FEC" w14:textId="77777777" w:rsidTr="00D72729">
        <w:tc>
          <w:tcPr>
            <w:tcW w:w="990" w:type="dxa"/>
            <w:shd w:val="clear" w:color="auto" w:fill="FFFF00"/>
          </w:tcPr>
          <w:p w14:paraId="5DBCF53C" w14:textId="77777777" w:rsidR="00DF645C" w:rsidRPr="00D72729" w:rsidRDefault="00DF645C" w:rsidP="00CF528B">
            <w:pPr>
              <w:spacing w:after="200" w:line="276" w:lineRule="auto"/>
              <w:rPr>
                <w:rFonts w:ascii="Arial" w:eastAsia="Calibri" w:hAnsi="Arial" w:cs="Arial"/>
                <w:b/>
                <w:sz w:val="18"/>
                <w:szCs w:val="18"/>
              </w:rPr>
            </w:pPr>
            <w:r w:rsidRPr="00D72729">
              <w:rPr>
                <w:rFonts w:ascii="Arial" w:eastAsia="Calibri" w:hAnsi="Arial" w:cs="Arial"/>
                <w:b/>
                <w:sz w:val="18"/>
                <w:szCs w:val="18"/>
              </w:rPr>
              <w:t>SDBIP NO.</w:t>
            </w:r>
          </w:p>
          <w:p w14:paraId="3518E048" w14:textId="77777777" w:rsidR="00DF645C" w:rsidRPr="00D72729" w:rsidRDefault="00DF645C" w:rsidP="00CF528B">
            <w:pPr>
              <w:spacing w:after="200" w:line="276" w:lineRule="auto"/>
              <w:rPr>
                <w:rFonts w:ascii="Arial" w:eastAsia="Calibri" w:hAnsi="Arial" w:cs="Arial"/>
                <w:sz w:val="18"/>
                <w:szCs w:val="18"/>
              </w:rPr>
            </w:pPr>
          </w:p>
        </w:tc>
        <w:tc>
          <w:tcPr>
            <w:tcW w:w="1980" w:type="dxa"/>
            <w:shd w:val="clear" w:color="auto" w:fill="FFFF00"/>
          </w:tcPr>
          <w:p w14:paraId="1660E9B3" w14:textId="77777777" w:rsidR="00DF645C" w:rsidRPr="00D72729" w:rsidRDefault="00DF645C" w:rsidP="00CF528B">
            <w:pPr>
              <w:spacing w:after="200" w:line="276" w:lineRule="auto"/>
              <w:rPr>
                <w:rFonts w:ascii="Arial" w:eastAsia="Calibri" w:hAnsi="Arial" w:cs="Arial"/>
                <w:b/>
                <w:sz w:val="18"/>
                <w:szCs w:val="18"/>
              </w:rPr>
            </w:pPr>
            <w:r w:rsidRPr="00D72729">
              <w:rPr>
                <w:rFonts w:ascii="Arial" w:eastAsia="Calibri" w:hAnsi="Arial" w:cs="Arial"/>
                <w:b/>
                <w:sz w:val="18"/>
                <w:szCs w:val="18"/>
              </w:rPr>
              <w:t>KEY PERFORMANCE INDICATOR</w:t>
            </w:r>
          </w:p>
        </w:tc>
        <w:tc>
          <w:tcPr>
            <w:tcW w:w="1800" w:type="dxa"/>
            <w:shd w:val="clear" w:color="auto" w:fill="FFFF00"/>
          </w:tcPr>
          <w:p w14:paraId="1EF22CB4" w14:textId="0084A848" w:rsidR="00DF645C" w:rsidRPr="00D72729" w:rsidRDefault="007A6C73" w:rsidP="00CF528B">
            <w:pPr>
              <w:spacing w:after="200" w:line="276" w:lineRule="auto"/>
              <w:rPr>
                <w:rFonts w:ascii="Arial" w:eastAsia="Calibri" w:hAnsi="Arial" w:cs="Arial"/>
                <w:b/>
                <w:sz w:val="18"/>
                <w:szCs w:val="18"/>
              </w:rPr>
            </w:pPr>
            <w:r w:rsidRPr="00D72729">
              <w:rPr>
                <w:rFonts w:ascii="Arial" w:eastAsia="Calibri" w:hAnsi="Arial" w:cs="Arial"/>
                <w:b/>
                <w:sz w:val="18"/>
                <w:szCs w:val="18"/>
              </w:rPr>
              <w:t xml:space="preserve">Q2 </w:t>
            </w:r>
            <w:r w:rsidR="00DF645C" w:rsidRPr="00D72729">
              <w:rPr>
                <w:rFonts w:ascii="Arial" w:eastAsia="Calibri" w:hAnsi="Arial" w:cs="Arial"/>
                <w:b/>
                <w:sz w:val="18"/>
                <w:szCs w:val="18"/>
              </w:rPr>
              <w:t>TARGET</w:t>
            </w:r>
          </w:p>
        </w:tc>
        <w:tc>
          <w:tcPr>
            <w:tcW w:w="1980" w:type="dxa"/>
            <w:shd w:val="clear" w:color="auto" w:fill="FFFF00"/>
          </w:tcPr>
          <w:p w14:paraId="4BA9C377" w14:textId="77777777" w:rsidR="00DF645C" w:rsidRPr="00D72729" w:rsidRDefault="00DF645C" w:rsidP="00CF528B">
            <w:pPr>
              <w:spacing w:after="200" w:line="276" w:lineRule="auto"/>
              <w:rPr>
                <w:rFonts w:ascii="Arial" w:eastAsia="Calibri" w:hAnsi="Arial" w:cs="Arial"/>
                <w:b/>
                <w:sz w:val="18"/>
                <w:szCs w:val="18"/>
              </w:rPr>
            </w:pPr>
            <w:r w:rsidRPr="00D72729">
              <w:rPr>
                <w:rFonts w:ascii="Arial" w:eastAsia="Calibri" w:hAnsi="Arial" w:cs="Arial"/>
                <w:b/>
                <w:sz w:val="18"/>
                <w:szCs w:val="18"/>
              </w:rPr>
              <w:t>PERFORMANCE CLAIMED</w:t>
            </w:r>
          </w:p>
        </w:tc>
        <w:tc>
          <w:tcPr>
            <w:tcW w:w="2160" w:type="dxa"/>
            <w:shd w:val="clear" w:color="auto" w:fill="FFFF00"/>
          </w:tcPr>
          <w:p w14:paraId="4ABC9069" w14:textId="77777777" w:rsidR="00DF645C" w:rsidRPr="00D72729" w:rsidRDefault="00DF645C" w:rsidP="00CF528B">
            <w:pPr>
              <w:spacing w:after="200" w:line="276" w:lineRule="auto"/>
              <w:rPr>
                <w:rFonts w:ascii="Arial" w:eastAsia="Calibri" w:hAnsi="Arial" w:cs="Arial"/>
                <w:b/>
                <w:sz w:val="18"/>
                <w:szCs w:val="18"/>
              </w:rPr>
            </w:pPr>
            <w:r w:rsidRPr="00D72729">
              <w:rPr>
                <w:rFonts w:ascii="Arial" w:eastAsia="Calibri" w:hAnsi="Arial" w:cs="Arial"/>
                <w:b/>
                <w:sz w:val="18"/>
                <w:szCs w:val="18"/>
              </w:rPr>
              <w:t>REASONS FOR NOT ACHIEVING CUMULATIVE TARGET</w:t>
            </w:r>
          </w:p>
        </w:tc>
        <w:tc>
          <w:tcPr>
            <w:tcW w:w="2160" w:type="dxa"/>
            <w:shd w:val="clear" w:color="auto" w:fill="FFFF00"/>
          </w:tcPr>
          <w:p w14:paraId="3EFCE05D" w14:textId="77777777" w:rsidR="00DF645C" w:rsidRPr="00D72729" w:rsidRDefault="00DF645C" w:rsidP="00CF528B">
            <w:pPr>
              <w:rPr>
                <w:rFonts w:ascii="Arial" w:eastAsia="Calibri" w:hAnsi="Arial" w:cs="Arial"/>
                <w:b/>
                <w:sz w:val="18"/>
                <w:szCs w:val="18"/>
              </w:rPr>
            </w:pPr>
            <w:r w:rsidRPr="00D72729">
              <w:rPr>
                <w:rFonts w:ascii="Arial" w:eastAsia="Calibri" w:hAnsi="Arial" w:cs="Arial"/>
                <w:b/>
                <w:sz w:val="18"/>
                <w:szCs w:val="18"/>
              </w:rPr>
              <w:t>REMEDIAL ACTIONS</w:t>
            </w:r>
          </w:p>
        </w:tc>
      </w:tr>
      <w:tr w:rsidR="00DF645C" w:rsidRPr="00D72729" w14:paraId="6E242CFF" w14:textId="77777777" w:rsidTr="00D72729">
        <w:tc>
          <w:tcPr>
            <w:tcW w:w="990" w:type="dxa"/>
          </w:tcPr>
          <w:p w14:paraId="349325EF" w14:textId="77777777" w:rsidR="00DF645C" w:rsidRPr="00D72729" w:rsidRDefault="00DF645C" w:rsidP="00CF528B">
            <w:pPr>
              <w:rPr>
                <w:rFonts w:ascii="Arial" w:eastAsia="Calibri" w:hAnsi="Arial" w:cs="Arial"/>
                <w:bCs/>
                <w:sz w:val="18"/>
                <w:szCs w:val="18"/>
              </w:rPr>
            </w:pPr>
          </w:p>
          <w:p w14:paraId="0C231A51" w14:textId="127C69E4"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CSS 16</w:t>
            </w:r>
          </w:p>
        </w:tc>
        <w:tc>
          <w:tcPr>
            <w:tcW w:w="1980" w:type="dxa"/>
          </w:tcPr>
          <w:p w14:paraId="39B55CC2" w14:textId="3FBB7DA4"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Number of Emerging Enterprise's  trained on various skills</w:t>
            </w:r>
          </w:p>
        </w:tc>
        <w:tc>
          <w:tcPr>
            <w:tcW w:w="1800" w:type="dxa"/>
          </w:tcPr>
          <w:p w14:paraId="7A065F1E" w14:textId="77777777" w:rsidR="007A6C73"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 xml:space="preserve">1. 30 x Informal Traders trained on Hygiene &amp; Food Safety, Customer Care and Growing your Informal Enterprise.    </w:t>
            </w:r>
          </w:p>
          <w:p w14:paraId="7DB45551" w14:textId="22DDB21E"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 xml:space="preserve"> 2. 20x  members trained on Tourism &amp; Hospitality Skills</w:t>
            </w:r>
          </w:p>
        </w:tc>
        <w:tc>
          <w:tcPr>
            <w:tcW w:w="1980" w:type="dxa"/>
          </w:tcPr>
          <w:p w14:paraId="1CC559AC" w14:textId="77777777" w:rsidR="007A6C73"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1. 20 SMMEs trained in Block Manufacturing</w:t>
            </w:r>
          </w:p>
          <w:p w14:paraId="0A39F246" w14:textId="21FD7D1F"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2. Train 20 Bricklayers</w:t>
            </w:r>
          </w:p>
        </w:tc>
        <w:tc>
          <w:tcPr>
            <w:tcW w:w="2160" w:type="dxa"/>
          </w:tcPr>
          <w:p w14:paraId="6C1025FE" w14:textId="6869A7B7" w:rsidR="00DF645C" w:rsidRPr="00D72729" w:rsidRDefault="007A6C73" w:rsidP="00CF528B">
            <w:pPr>
              <w:jc w:val="both"/>
              <w:rPr>
                <w:rFonts w:ascii="Arial" w:hAnsi="Arial" w:cs="Arial"/>
                <w:sz w:val="18"/>
                <w:szCs w:val="18"/>
              </w:rPr>
            </w:pPr>
            <w:r w:rsidRPr="00D72729">
              <w:rPr>
                <w:rFonts w:ascii="Arial" w:hAnsi="Arial" w:cs="Arial"/>
                <w:sz w:val="18"/>
                <w:szCs w:val="18"/>
              </w:rPr>
              <w:t>Not Achieved due to delay in SCM processes.</w:t>
            </w:r>
          </w:p>
        </w:tc>
        <w:tc>
          <w:tcPr>
            <w:tcW w:w="2160" w:type="dxa"/>
          </w:tcPr>
          <w:p w14:paraId="428E74D0" w14:textId="56AFFA67"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The Department would ensure that it is in constant liaison with the Manager responsible for SCM in order to ensure that all SCM processes pertaining this target are concluded on time in order to ensure that the target</w:t>
            </w:r>
            <w:r w:rsidR="00907576" w:rsidRPr="00D72729">
              <w:rPr>
                <w:rFonts w:ascii="Arial" w:eastAsia="Calibri" w:hAnsi="Arial" w:cs="Arial"/>
                <w:bCs/>
                <w:sz w:val="18"/>
                <w:szCs w:val="18"/>
              </w:rPr>
              <w:t xml:space="preserve"> is achieved in Q3 of 2020/21</w:t>
            </w:r>
          </w:p>
        </w:tc>
      </w:tr>
      <w:tr w:rsidR="00DF645C" w:rsidRPr="00D72729" w14:paraId="688C2558" w14:textId="77777777" w:rsidTr="00D72729">
        <w:tc>
          <w:tcPr>
            <w:tcW w:w="990" w:type="dxa"/>
          </w:tcPr>
          <w:p w14:paraId="7CDF1FE1" w14:textId="3B81A72C" w:rsidR="00DF645C" w:rsidRPr="00D72729" w:rsidRDefault="007A6C73" w:rsidP="00CF528B">
            <w:pPr>
              <w:rPr>
                <w:rFonts w:ascii="Arial" w:eastAsia="Calibri" w:hAnsi="Arial" w:cs="Arial"/>
                <w:bCs/>
                <w:sz w:val="18"/>
                <w:szCs w:val="18"/>
              </w:rPr>
            </w:pPr>
            <w:r w:rsidRPr="00D72729">
              <w:rPr>
                <w:rFonts w:ascii="Arial" w:eastAsia="Calibri" w:hAnsi="Arial" w:cs="Arial"/>
                <w:bCs/>
                <w:sz w:val="18"/>
                <w:szCs w:val="18"/>
              </w:rPr>
              <w:t xml:space="preserve">CSS </w:t>
            </w:r>
            <w:r w:rsidR="00907576" w:rsidRPr="00D72729">
              <w:rPr>
                <w:rFonts w:ascii="Arial" w:eastAsia="Calibri" w:hAnsi="Arial" w:cs="Arial"/>
                <w:bCs/>
                <w:sz w:val="18"/>
                <w:szCs w:val="18"/>
              </w:rPr>
              <w:t>18</w:t>
            </w:r>
          </w:p>
        </w:tc>
        <w:tc>
          <w:tcPr>
            <w:tcW w:w="1980" w:type="dxa"/>
          </w:tcPr>
          <w:p w14:paraId="16D6F4A6" w14:textId="05C4419F" w:rsidR="00DF645C" w:rsidRPr="00D72729" w:rsidRDefault="00907576" w:rsidP="00CF528B">
            <w:pPr>
              <w:rPr>
                <w:rFonts w:ascii="Arial" w:eastAsia="Calibri" w:hAnsi="Arial" w:cs="Arial"/>
                <w:bCs/>
                <w:sz w:val="18"/>
                <w:szCs w:val="18"/>
              </w:rPr>
            </w:pPr>
            <w:r w:rsidRPr="00D72729">
              <w:rPr>
                <w:rFonts w:ascii="Arial" w:eastAsia="Calibri" w:hAnsi="Arial" w:cs="Arial"/>
                <w:bCs/>
                <w:sz w:val="18"/>
                <w:szCs w:val="18"/>
              </w:rPr>
              <w:t>Number of LED and Tourism Stakeholder Forums Coordinated</w:t>
            </w:r>
          </w:p>
        </w:tc>
        <w:tc>
          <w:tcPr>
            <w:tcW w:w="1800" w:type="dxa"/>
          </w:tcPr>
          <w:p w14:paraId="4F744C29" w14:textId="0562E3B7" w:rsidR="00DF645C" w:rsidRPr="00AA4ED0" w:rsidRDefault="00907576"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2 LED Forum &amp;  2 Tourism Forum coordinated</w:t>
            </w:r>
          </w:p>
        </w:tc>
        <w:tc>
          <w:tcPr>
            <w:tcW w:w="1980" w:type="dxa"/>
          </w:tcPr>
          <w:p w14:paraId="347A782A" w14:textId="67E7F6F2" w:rsidR="00907576" w:rsidRPr="00AA4ED0" w:rsidRDefault="00907576"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 xml:space="preserve">Target Not Achieved, </w:t>
            </w:r>
          </w:p>
          <w:p w14:paraId="0D93C8E9" w14:textId="77777777" w:rsidR="00907576" w:rsidRPr="00AA4ED0" w:rsidRDefault="00907576"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 xml:space="preserve">2 Tourism Forums were held on the 09/10/2020 at the </w:t>
            </w:r>
            <w:proofErr w:type="spellStart"/>
            <w:r w:rsidRPr="00AA4ED0">
              <w:rPr>
                <w:rFonts w:ascii="Arial" w:eastAsia="Calibri" w:hAnsi="Arial" w:cs="Arial"/>
                <w:bCs/>
                <w:color w:val="000000" w:themeColor="text1"/>
                <w:sz w:val="18"/>
                <w:szCs w:val="18"/>
              </w:rPr>
              <w:t>Himeville</w:t>
            </w:r>
            <w:proofErr w:type="spellEnd"/>
            <w:r w:rsidRPr="00AA4ED0">
              <w:rPr>
                <w:rFonts w:ascii="Arial" w:eastAsia="Calibri" w:hAnsi="Arial" w:cs="Arial"/>
                <w:bCs/>
                <w:color w:val="000000" w:themeColor="text1"/>
                <w:sz w:val="18"/>
                <w:szCs w:val="18"/>
              </w:rPr>
              <w:t xml:space="preserve"> Boardroom, and on the 10/12/2020 at the Underberg Library.</w:t>
            </w:r>
          </w:p>
          <w:p w14:paraId="3B9AA227" w14:textId="5699EE43" w:rsidR="00DF645C" w:rsidRPr="00AA4ED0" w:rsidRDefault="00907576"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1 - LED Forum was held on the 11/11/2020 at the Bulwer CSC, and 1 - LED Forum is outstanding.</w:t>
            </w:r>
          </w:p>
        </w:tc>
        <w:tc>
          <w:tcPr>
            <w:tcW w:w="2160" w:type="dxa"/>
          </w:tcPr>
          <w:p w14:paraId="364B832B" w14:textId="156943EB" w:rsidR="00DF645C" w:rsidRPr="00D72729" w:rsidRDefault="00907576" w:rsidP="00CF528B">
            <w:pPr>
              <w:jc w:val="both"/>
              <w:rPr>
                <w:rFonts w:ascii="Arial" w:hAnsi="Arial" w:cs="Arial"/>
                <w:sz w:val="18"/>
                <w:szCs w:val="18"/>
              </w:rPr>
            </w:pPr>
            <w:r w:rsidRPr="00D72729">
              <w:rPr>
                <w:rFonts w:ascii="Arial" w:hAnsi="Arial" w:cs="Arial"/>
                <w:sz w:val="18"/>
                <w:szCs w:val="18"/>
              </w:rPr>
              <w:t xml:space="preserve">At the last coordinated  meeting only one member attended and most members apologized- this may be  due to </w:t>
            </w:r>
            <w:proofErr w:type="spellStart"/>
            <w:r w:rsidRPr="00D72729">
              <w:rPr>
                <w:rFonts w:ascii="Arial" w:hAnsi="Arial" w:cs="Arial"/>
                <w:sz w:val="18"/>
                <w:szCs w:val="18"/>
              </w:rPr>
              <w:t>Covid</w:t>
            </w:r>
            <w:proofErr w:type="spellEnd"/>
            <w:r w:rsidRPr="00D72729">
              <w:rPr>
                <w:rFonts w:ascii="Arial" w:hAnsi="Arial" w:cs="Arial"/>
                <w:sz w:val="18"/>
                <w:szCs w:val="18"/>
              </w:rPr>
              <w:t xml:space="preserve"> 19 pandemic</w:t>
            </w:r>
          </w:p>
        </w:tc>
        <w:tc>
          <w:tcPr>
            <w:tcW w:w="2160" w:type="dxa"/>
          </w:tcPr>
          <w:p w14:paraId="09F3C9AA" w14:textId="7DDFD6ED" w:rsidR="00DF645C" w:rsidRPr="00D72729" w:rsidRDefault="00907576" w:rsidP="00CF528B">
            <w:pPr>
              <w:rPr>
                <w:rFonts w:ascii="Arial" w:eastAsia="Calibri" w:hAnsi="Arial" w:cs="Arial"/>
                <w:bCs/>
                <w:sz w:val="18"/>
                <w:szCs w:val="18"/>
              </w:rPr>
            </w:pPr>
            <w:r w:rsidRPr="00D72729">
              <w:rPr>
                <w:rFonts w:ascii="Arial" w:eastAsia="Calibri" w:hAnsi="Arial" w:cs="Arial"/>
                <w:bCs/>
                <w:sz w:val="18"/>
                <w:szCs w:val="18"/>
              </w:rPr>
              <w:t>A virtual meeting will be organized where there are early signs of possible poor attendance by members.</w:t>
            </w:r>
          </w:p>
        </w:tc>
      </w:tr>
      <w:tr w:rsidR="00907576" w:rsidRPr="00D72729" w14:paraId="5CA39267" w14:textId="77777777" w:rsidTr="00D72729">
        <w:tc>
          <w:tcPr>
            <w:tcW w:w="990" w:type="dxa"/>
          </w:tcPr>
          <w:p w14:paraId="3CF35DFE" w14:textId="67D33AA5" w:rsidR="00907576" w:rsidRPr="00D72729" w:rsidRDefault="00907576" w:rsidP="00CF528B">
            <w:pPr>
              <w:rPr>
                <w:rFonts w:ascii="Arial" w:eastAsia="Calibri" w:hAnsi="Arial" w:cs="Arial"/>
                <w:bCs/>
                <w:sz w:val="18"/>
                <w:szCs w:val="18"/>
              </w:rPr>
            </w:pPr>
            <w:r w:rsidRPr="00D72729">
              <w:rPr>
                <w:rFonts w:ascii="Arial" w:eastAsia="Calibri" w:hAnsi="Arial" w:cs="Arial"/>
                <w:bCs/>
                <w:sz w:val="18"/>
                <w:szCs w:val="18"/>
              </w:rPr>
              <w:t>CSS 23</w:t>
            </w:r>
          </w:p>
        </w:tc>
        <w:tc>
          <w:tcPr>
            <w:tcW w:w="1980" w:type="dxa"/>
          </w:tcPr>
          <w:p w14:paraId="5F69AF4A" w14:textId="790F2AB8" w:rsidR="00907576" w:rsidRPr="00D72729" w:rsidRDefault="00907576" w:rsidP="00CF528B">
            <w:pPr>
              <w:rPr>
                <w:rFonts w:ascii="Arial" w:eastAsia="Calibri" w:hAnsi="Arial" w:cs="Arial"/>
                <w:bCs/>
                <w:sz w:val="18"/>
                <w:szCs w:val="18"/>
              </w:rPr>
            </w:pPr>
            <w:r w:rsidRPr="00D72729">
              <w:rPr>
                <w:rFonts w:ascii="Arial" w:eastAsia="Calibri" w:hAnsi="Arial" w:cs="Arial"/>
                <w:bCs/>
                <w:sz w:val="18"/>
                <w:szCs w:val="18"/>
              </w:rPr>
              <w:t>Percentage of the department's  annual capital budget actually spent on capital projects</w:t>
            </w:r>
          </w:p>
        </w:tc>
        <w:tc>
          <w:tcPr>
            <w:tcW w:w="1800" w:type="dxa"/>
          </w:tcPr>
          <w:p w14:paraId="747697CD" w14:textId="7D569EC2" w:rsidR="00907576" w:rsidRPr="00AA4ED0" w:rsidRDefault="00907576"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50%</w:t>
            </w:r>
          </w:p>
        </w:tc>
        <w:tc>
          <w:tcPr>
            <w:tcW w:w="1980" w:type="dxa"/>
          </w:tcPr>
          <w:p w14:paraId="04AA7F39" w14:textId="1AA47B97" w:rsidR="00907576" w:rsidRPr="00AA4ED0" w:rsidRDefault="008775D3" w:rsidP="00CF528B">
            <w:pPr>
              <w:rPr>
                <w:rFonts w:ascii="Arial" w:eastAsia="Calibri" w:hAnsi="Arial" w:cs="Arial"/>
                <w:bCs/>
                <w:color w:val="000000" w:themeColor="text1"/>
                <w:sz w:val="18"/>
                <w:szCs w:val="18"/>
              </w:rPr>
            </w:pPr>
            <w:r w:rsidRPr="00AA4ED0">
              <w:rPr>
                <w:rFonts w:ascii="Arial" w:eastAsia="Calibri" w:hAnsi="Arial" w:cs="Arial"/>
                <w:bCs/>
                <w:color w:val="000000" w:themeColor="text1"/>
                <w:sz w:val="18"/>
                <w:szCs w:val="18"/>
              </w:rPr>
              <w:t>1</w:t>
            </w:r>
            <w:r w:rsidR="00EB5F93" w:rsidRPr="00AA4ED0">
              <w:rPr>
                <w:rFonts w:ascii="Arial" w:eastAsia="Calibri" w:hAnsi="Arial" w:cs="Arial"/>
                <w:bCs/>
                <w:color w:val="000000" w:themeColor="text1"/>
                <w:sz w:val="18"/>
                <w:szCs w:val="18"/>
              </w:rPr>
              <w:t>% of the department’s annual capital budget actually spent on capital projects.</w:t>
            </w:r>
          </w:p>
        </w:tc>
        <w:tc>
          <w:tcPr>
            <w:tcW w:w="2160" w:type="dxa"/>
          </w:tcPr>
          <w:p w14:paraId="1BDF68FA" w14:textId="2B22A3FF" w:rsidR="00907576" w:rsidRPr="00D72729" w:rsidRDefault="00EB5F93" w:rsidP="00CF528B">
            <w:pPr>
              <w:jc w:val="both"/>
              <w:rPr>
                <w:rFonts w:ascii="Arial" w:hAnsi="Arial" w:cs="Arial"/>
                <w:sz w:val="18"/>
                <w:szCs w:val="18"/>
              </w:rPr>
            </w:pPr>
            <w:r w:rsidRPr="00D72729">
              <w:rPr>
                <w:rFonts w:ascii="Arial" w:hAnsi="Arial" w:cs="Arial"/>
                <w:sz w:val="18"/>
                <w:szCs w:val="18"/>
              </w:rPr>
              <w:t>SCM processes and late submission of specifications.</w:t>
            </w:r>
          </w:p>
        </w:tc>
        <w:tc>
          <w:tcPr>
            <w:tcW w:w="2160" w:type="dxa"/>
          </w:tcPr>
          <w:p w14:paraId="64CB0C4B" w14:textId="2F49DACA" w:rsidR="00907576" w:rsidRPr="00D72729" w:rsidRDefault="00EB5F93" w:rsidP="00CF528B">
            <w:pPr>
              <w:rPr>
                <w:rFonts w:ascii="Arial" w:eastAsia="Calibri" w:hAnsi="Arial" w:cs="Arial"/>
                <w:bCs/>
                <w:sz w:val="18"/>
                <w:szCs w:val="18"/>
              </w:rPr>
            </w:pPr>
            <w:r w:rsidRPr="00D72729">
              <w:rPr>
                <w:rFonts w:ascii="Arial" w:eastAsia="Calibri" w:hAnsi="Arial" w:cs="Arial"/>
                <w:bCs/>
                <w:sz w:val="18"/>
                <w:szCs w:val="18"/>
              </w:rPr>
              <w:t xml:space="preserve">The department would ensure early submission of specifications - and panel for procurement of items like LED material before the end of Q3 of 2020/21. </w:t>
            </w:r>
          </w:p>
        </w:tc>
      </w:tr>
      <w:bookmarkEnd w:id="208"/>
    </w:tbl>
    <w:p w14:paraId="76768DE3" w14:textId="77777777" w:rsidR="007C2407" w:rsidRDefault="007C2407" w:rsidP="00385F9B">
      <w:pPr>
        <w:jc w:val="both"/>
        <w:rPr>
          <w:rFonts w:ascii="Arial" w:hAnsi="Arial" w:cs="Arial"/>
          <w:b/>
          <w:bCs/>
          <w:sz w:val="20"/>
          <w:szCs w:val="20"/>
        </w:rPr>
      </w:pPr>
    </w:p>
    <w:p w14:paraId="30B9008A" w14:textId="77777777" w:rsidR="007C2407" w:rsidRDefault="007C2407" w:rsidP="00385F9B">
      <w:pPr>
        <w:jc w:val="both"/>
        <w:rPr>
          <w:rFonts w:ascii="Arial" w:hAnsi="Arial" w:cs="Arial"/>
          <w:b/>
          <w:bCs/>
          <w:sz w:val="20"/>
          <w:szCs w:val="20"/>
        </w:rPr>
      </w:pPr>
    </w:p>
    <w:p w14:paraId="126910BA" w14:textId="77777777" w:rsidR="00D45A44" w:rsidRDefault="00D45A44" w:rsidP="00385F9B">
      <w:pPr>
        <w:jc w:val="both"/>
        <w:rPr>
          <w:rFonts w:ascii="Arial" w:hAnsi="Arial" w:cs="Arial"/>
          <w:b/>
          <w:bCs/>
          <w:sz w:val="20"/>
          <w:szCs w:val="20"/>
        </w:rPr>
        <w:sectPr w:rsidR="00D45A44" w:rsidSect="00D45A44">
          <w:pgSz w:w="11906" w:h="16838"/>
          <w:pgMar w:top="1440" w:right="1440" w:bottom="1440" w:left="1440" w:header="706" w:footer="706" w:gutter="0"/>
          <w:cols w:space="708"/>
          <w:docGrid w:linePitch="360"/>
        </w:sectPr>
      </w:pPr>
    </w:p>
    <w:p w14:paraId="33752AB4" w14:textId="118DBE94" w:rsidR="007C2407" w:rsidRDefault="00DF645C" w:rsidP="00D72729">
      <w:pPr>
        <w:pStyle w:val="Heading1"/>
        <w:numPr>
          <w:ilvl w:val="0"/>
          <w:numId w:val="9"/>
        </w:numPr>
        <w:rPr>
          <w:rFonts w:ascii="Arial" w:hAnsi="Arial" w:cs="Arial"/>
          <w:b/>
          <w:bCs/>
          <w:sz w:val="20"/>
          <w:szCs w:val="20"/>
        </w:rPr>
      </w:pPr>
      <w:bookmarkStart w:id="209" w:name="_Toc61962845"/>
      <w:r w:rsidRPr="0095784A">
        <w:rPr>
          <w:rFonts w:ascii="Arial" w:hAnsi="Arial" w:cs="Arial"/>
          <w:b/>
          <w:bCs/>
          <w:sz w:val="20"/>
          <w:szCs w:val="20"/>
        </w:rPr>
        <w:lastRenderedPageBreak/>
        <w:t>CORPORATE SUPPORT SERVICES DEPARTMENT</w:t>
      </w:r>
      <w:bookmarkEnd w:id="209"/>
    </w:p>
    <w:p w14:paraId="05D4F15C" w14:textId="77777777" w:rsidR="0010653E" w:rsidRPr="0010653E" w:rsidRDefault="0010653E" w:rsidP="0010653E"/>
    <w:p w14:paraId="6D25A57B" w14:textId="77777777" w:rsidR="00DF645C" w:rsidRPr="00024306" w:rsidRDefault="00DF645C" w:rsidP="00DF645C">
      <w:pPr>
        <w:pStyle w:val="NoSpacing"/>
        <w:jc w:val="both"/>
        <w:rPr>
          <w:rFonts w:ascii="Arial" w:hAnsi="Arial" w:cs="Arial"/>
          <w:bCs/>
          <w:iCs/>
          <w:sz w:val="20"/>
          <w:szCs w:val="20"/>
        </w:rPr>
      </w:pPr>
      <w:r w:rsidRPr="00024306">
        <w:rPr>
          <w:rFonts w:ascii="Arial" w:hAnsi="Arial" w:cs="Arial"/>
          <w:bCs/>
          <w:iCs/>
          <w:sz w:val="20"/>
          <w:szCs w:val="20"/>
        </w:rPr>
        <w:t>The department is comprising of the following units/directorates:</w:t>
      </w:r>
    </w:p>
    <w:p w14:paraId="584A4D4D" w14:textId="77777777" w:rsidR="00DF645C" w:rsidRPr="00024306" w:rsidRDefault="00DF645C" w:rsidP="00DF645C">
      <w:pPr>
        <w:pStyle w:val="NoSpacing"/>
        <w:jc w:val="both"/>
        <w:rPr>
          <w:rFonts w:ascii="Arial" w:hAnsi="Arial" w:cs="Arial"/>
          <w:bCs/>
          <w:iCs/>
          <w:sz w:val="20"/>
          <w:szCs w:val="20"/>
        </w:rPr>
      </w:pPr>
    </w:p>
    <w:p w14:paraId="35847949" w14:textId="77777777" w:rsidR="00DF645C" w:rsidRPr="00024306" w:rsidRDefault="00DF645C" w:rsidP="00DF645C">
      <w:pPr>
        <w:pStyle w:val="NoSpacing"/>
        <w:numPr>
          <w:ilvl w:val="0"/>
          <w:numId w:val="8"/>
        </w:numPr>
        <w:rPr>
          <w:rFonts w:ascii="Arial" w:hAnsi="Arial" w:cs="Arial"/>
          <w:bCs/>
          <w:iCs/>
          <w:sz w:val="20"/>
          <w:szCs w:val="20"/>
        </w:rPr>
      </w:pPr>
      <w:r w:rsidRPr="00024306">
        <w:rPr>
          <w:rFonts w:ascii="Arial" w:hAnsi="Arial" w:cs="Arial"/>
          <w:bCs/>
          <w:iCs/>
          <w:sz w:val="20"/>
          <w:szCs w:val="20"/>
        </w:rPr>
        <w:t>Human Resources: Recruitment and Selection</w:t>
      </w:r>
    </w:p>
    <w:p w14:paraId="362DB817" w14:textId="77777777" w:rsidR="00DF645C" w:rsidRPr="00024306" w:rsidRDefault="00DF645C" w:rsidP="00DF645C">
      <w:pPr>
        <w:pStyle w:val="NoSpacing"/>
        <w:numPr>
          <w:ilvl w:val="0"/>
          <w:numId w:val="8"/>
        </w:numPr>
        <w:rPr>
          <w:rFonts w:ascii="Arial" w:hAnsi="Arial" w:cs="Arial"/>
          <w:bCs/>
          <w:iCs/>
          <w:sz w:val="20"/>
          <w:szCs w:val="20"/>
        </w:rPr>
      </w:pPr>
      <w:r w:rsidRPr="00024306">
        <w:rPr>
          <w:rFonts w:ascii="Arial" w:hAnsi="Arial" w:cs="Arial"/>
          <w:bCs/>
          <w:iCs/>
          <w:sz w:val="20"/>
          <w:szCs w:val="20"/>
        </w:rPr>
        <w:t>Skills Development</w:t>
      </w:r>
    </w:p>
    <w:p w14:paraId="12FC2AA4" w14:textId="77777777" w:rsidR="00DF645C" w:rsidRPr="00024306" w:rsidRDefault="00DF645C" w:rsidP="00DF645C">
      <w:pPr>
        <w:pStyle w:val="NoSpacing"/>
        <w:numPr>
          <w:ilvl w:val="0"/>
          <w:numId w:val="8"/>
        </w:numPr>
        <w:rPr>
          <w:rFonts w:ascii="Arial" w:hAnsi="Arial" w:cs="Arial"/>
          <w:bCs/>
          <w:iCs/>
          <w:sz w:val="20"/>
          <w:szCs w:val="20"/>
        </w:rPr>
      </w:pPr>
      <w:r w:rsidRPr="00024306">
        <w:rPr>
          <w:rFonts w:ascii="Arial" w:hAnsi="Arial" w:cs="Arial"/>
          <w:bCs/>
          <w:iCs/>
          <w:sz w:val="20"/>
          <w:szCs w:val="20"/>
        </w:rPr>
        <w:t>Administration and Council Support</w:t>
      </w:r>
    </w:p>
    <w:p w14:paraId="6EFC98B6" w14:textId="77777777" w:rsidR="00DF645C" w:rsidRPr="00024306" w:rsidRDefault="00DF645C" w:rsidP="00DF645C">
      <w:pPr>
        <w:pStyle w:val="NoSpacing"/>
        <w:numPr>
          <w:ilvl w:val="0"/>
          <w:numId w:val="8"/>
        </w:numPr>
        <w:rPr>
          <w:rFonts w:ascii="Arial" w:hAnsi="Arial" w:cs="Arial"/>
          <w:bCs/>
          <w:iCs/>
          <w:sz w:val="20"/>
          <w:szCs w:val="20"/>
        </w:rPr>
      </w:pPr>
      <w:r w:rsidRPr="00024306">
        <w:rPr>
          <w:rFonts w:ascii="Arial" w:hAnsi="Arial" w:cs="Arial"/>
          <w:bCs/>
          <w:iCs/>
          <w:sz w:val="20"/>
          <w:szCs w:val="20"/>
        </w:rPr>
        <w:t>Information, Communication and Technology (ICT)</w:t>
      </w:r>
    </w:p>
    <w:p w14:paraId="6B7B74BA" w14:textId="77777777" w:rsidR="00DF645C" w:rsidRPr="00024306" w:rsidRDefault="00DF645C" w:rsidP="00DF645C">
      <w:pPr>
        <w:pStyle w:val="NoSpacing"/>
        <w:numPr>
          <w:ilvl w:val="0"/>
          <w:numId w:val="8"/>
        </w:numPr>
        <w:rPr>
          <w:rFonts w:ascii="Arial" w:hAnsi="Arial" w:cs="Arial"/>
          <w:bCs/>
          <w:iCs/>
          <w:sz w:val="20"/>
          <w:szCs w:val="20"/>
        </w:rPr>
      </w:pPr>
      <w:r w:rsidRPr="00024306">
        <w:rPr>
          <w:rFonts w:ascii="Arial" w:hAnsi="Arial" w:cs="Arial"/>
          <w:bCs/>
          <w:iCs/>
          <w:sz w:val="20"/>
          <w:szCs w:val="20"/>
        </w:rPr>
        <w:t xml:space="preserve">Registry/ Records Management </w:t>
      </w:r>
    </w:p>
    <w:p w14:paraId="7A39F216" w14:textId="77777777" w:rsidR="00DF645C" w:rsidRPr="00024306" w:rsidRDefault="00DF645C" w:rsidP="00DF645C">
      <w:pPr>
        <w:pStyle w:val="NoSpacing"/>
        <w:rPr>
          <w:rFonts w:ascii="Arial" w:hAnsi="Arial" w:cs="Arial"/>
          <w:bCs/>
          <w:iCs/>
          <w:sz w:val="20"/>
          <w:szCs w:val="20"/>
        </w:rPr>
      </w:pPr>
    </w:p>
    <w:p w14:paraId="6225859C" w14:textId="2ECD5975" w:rsidR="007C2407" w:rsidRDefault="0025003A" w:rsidP="00385F9B">
      <w:pPr>
        <w:jc w:val="both"/>
        <w:rPr>
          <w:rFonts w:ascii="Arial" w:hAnsi="Arial" w:cs="Arial"/>
          <w:sz w:val="20"/>
          <w:szCs w:val="20"/>
        </w:rPr>
      </w:pPr>
      <w:r>
        <w:rPr>
          <w:rFonts w:ascii="Arial" w:hAnsi="Arial" w:cs="Arial"/>
          <w:sz w:val="20"/>
          <w:szCs w:val="20"/>
        </w:rPr>
        <w:t>The department has twelve (12</w:t>
      </w:r>
      <w:r w:rsidR="00DF645C" w:rsidRPr="00024306">
        <w:rPr>
          <w:rFonts w:ascii="Arial" w:hAnsi="Arial" w:cs="Arial"/>
          <w:sz w:val="20"/>
          <w:szCs w:val="20"/>
        </w:rPr>
        <w:t>) indicators/ targets planned for the financial year however thee (03) are not applicable in the quarter</w:t>
      </w:r>
      <w:r>
        <w:rPr>
          <w:rFonts w:ascii="Arial" w:hAnsi="Arial" w:cs="Arial"/>
          <w:sz w:val="20"/>
          <w:szCs w:val="20"/>
        </w:rPr>
        <w:t xml:space="preserve"> 2, Six (06</w:t>
      </w:r>
      <w:r w:rsidR="00024306">
        <w:rPr>
          <w:rFonts w:ascii="Arial" w:hAnsi="Arial" w:cs="Arial"/>
          <w:sz w:val="20"/>
          <w:szCs w:val="20"/>
        </w:rPr>
        <w:t>) of those targets were achieved during the qu</w:t>
      </w:r>
      <w:r>
        <w:rPr>
          <w:rFonts w:ascii="Arial" w:hAnsi="Arial" w:cs="Arial"/>
          <w:sz w:val="20"/>
          <w:szCs w:val="20"/>
        </w:rPr>
        <w:t xml:space="preserve">arter and three (03) were not achieved. Reasons and corrective measures are in place and are listed in the table below. Only one indicator CORP 05 exceeded, whereby the department planned to train 20 people however at the end of quarter 2, about 39 staff members were trained on different skills, this constitute 9% of over-achievement at a mid-year. </w:t>
      </w:r>
      <w:r w:rsidR="00024306" w:rsidRPr="00024306">
        <w:rPr>
          <w:rFonts w:ascii="Arial" w:hAnsi="Arial" w:cs="Arial"/>
          <w:sz w:val="20"/>
          <w:szCs w:val="20"/>
        </w:rPr>
        <w:t>The following tables and graphs indicate the performance of the department a</w:t>
      </w:r>
      <w:r w:rsidR="00C35E98">
        <w:rPr>
          <w:rFonts w:ascii="Arial" w:hAnsi="Arial" w:cs="Arial"/>
          <w:sz w:val="20"/>
          <w:szCs w:val="20"/>
        </w:rPr>
        <w:t>s at the mid-year of the 2020/21</w:t>
      </w:r>
      <w:r w:rsidR="00024306" w:rsidRPr="00024306">
        <w:rPr>
          <w:rFonts w:ascii="Arial" w:hAnsi="Arial" w:cs="Arial"/>
          <w:sz w:val="20"/>
          <w:szCs w:val="20"/>
        </w:rPr>
        <w:t xml:space="preserve"> financial year:</w:t>
      </w:r>
    </w:p>
    <w:p w14:paraId="2194452F" w14:textId="77777777" w:rsidR="000827F0" w:rsidRPr="000827F0" w:rsidRDefault="000827F0" w:rsidP="000827F0">
      <w:pPr>
        <w:spacing w:after="200" w:line="276" w:lineRule="auto"/>
        <w:rPr>
          <w:rFonts w:ascii="Arial" w:hAnsi="Arial" w:cs="Arial"/>
          <w:sz w:val="20"/>
          <w:szCs w:val="20"/>
        </w:rPr>
      </w:pPr>
      <w:r w:rsidRPr="000827F0">
        <w:rPr>
          <w:rFonts w:ascii="Arial" w:hAnsi="Arial" w:cs="Arial"/>
          <w:b/>
          <w:sz w:val="20"/>
          <w:szCs w:val="20"/>
        </w:rPr>
        <w:t xml:space="preserve">CORPORATE SUPPORT SERVICES DEPARTMENT </w:t>
      </w:r>
    </w:p>
    <w:p w14:paraId="56B47BDF" w14:textId="409D24E3" w:rsidR="000827F0" w:rsidRPr="000827F0" w:rsidRDefault="00024306" w:rsidP="000827F0">
      <w:pPr>
        <w:spacing w:after="0"/>
        <w:outlineLvl w:val="1"/>
        <w:rPr>
          <w:rFonts w:ascii="Arial" w:hAnsi="Arial"/>
          <w:sz w:val="20"/>
          <w:szCs w:val="20"/>
        </w:rPr>
      </w:pPr>
      <w:bookmarkStart w:id="210" w:name="_Toc30172863"/>
      <w:bookmarkStart w:id="211" w:name="_Toc30173039"/>
      <w:bookmarkStart w:id="212" w:name="_Toc30173643"/>
      <w:bookmarkStart w:id="213" w:name="_Toc30173868"/>
      <w:bookmarkStart w:id="214" w:name="_Toc30173976"/>
      <w:bookmarkStart w:id="215" w:name="_Toc30174085"/>
      <w:bookmarkStart w:id="216" w:name="_Toc30174188"/>
      <w:bookmarkStart w:id="217" w:name="_Toc30174260"/>
      <w:bookmarkStart w:id="218" w:name="_Toc61962846"/>
      <w:r w:rsidRPr="00034798">
        <w:rPr>
          <w:rFonts w:ascii="Arial" w:hAnsi="Arial"/>
          <w:b/>
          <w:sz w:val="20"/>
          <w:szCs w:val="20"/>
        </w:rPr>
        <w:t xml:space="preserve">Targets Achieved </w:t>
      </w:r>
      <w:r>
        <w:rPr>
          <w:rFonts w:ascii="Arial" w:hAnsi="Arial"/>
          <w:b/>
          <w:sz w:val="20"/>
          <w:szCs w:val="20"/>
        </w:rPr>
        <w:t xml:space="preserve">01 </w:t>
      </w:r>
      <w:r w:rsidRPr="00034798">
        <w:rPr>
          <w:rFonts w:ascii="Arial" w:hAnsi="Arial"/>
          <w:b/>
          <w:sz w:val="20"/>
          <w:szCs w:val="20"/>
        </w:rPr>
        <w:t>July</w:t>
      </w:r>
      <w:r w:rsidR="00F25078">
        <w:rPr>
          <w:rFonts w:ascii="Arial" w:hAnsi="Arial"/>
          <w:b/>
          <w:sz w:val="20"/>
          <w:szCs w:val="20"/>
        </w:rPr>
        <w:t xml:space="preserve"> 2020</w:t>
      </w:r>
      <w:r>
        <w:rPr>
          <w:rFonts w:ascii="Arial" w:hAnsi="Arial"/>
          <w:b/>
          <w:sz w:val="20"/>
          <w:szCs w:val="20"/>
        </w:rPr>
        <w:t xml:space="preserve"> </w:t>
      </w:r>
      <w:r w:rsidRPr="00034798">
        <w:rPr>
          <w:rFonts w:ascii="Arial" w:hAnsi="Arial"/>
          <w:b/>
          <w:sz w:val="20"/>
          <w:szCs w:val="20"/>
        </w:rPr>
        <w:t>–</w:t>
      </w:r>
      <w:r>
        <w:rPr>
          <w:rFonts w:ascii="Arial" w:hAnsi="Arial"/>
          <w:b/>
          <w:sz w:val="20"/>
          <w:szCs w:val="20"/>
        </w:rPr>
        <w:t xml:space="preserve">31 </w:t>
      </w:r>
      <w:r w:rsidRPr="00034798">
        <w:rPr>
          <w:rFonts w:ascii="Arial" w:hAnsi="Arial"/>
          <w:b/>
          <w:sz w:val="20"/>
          <w:szCs w:val="20"/>
        </w:rPr>
        <w:t>December 20</w:t>
      </w:r>
      <w:bookmarkEnd w:id="210"/>
      <w:bookmarkEnd w:id="211"/>
      <w:bookmarkEnd w:id="212"/>
      <w:bookmarkEnd w:id="213"/>
      <w:bookmarkEnd w:id="214"/>
      <w:bookmarkEnd w:id="215"/>
      <w:bookmarkEnd w:id="216"/>
      <w:bookmarkEnd w:id="217"/>
      <w:r w:rsidR="00F25078">
        <w:rPr>
          <w:rFonts w:ascii="Arial" w:hAnsi="Arial"/>
          <w:b/>
          <w:sz w:val="20"/>
          <w:szCs w:val="20"/>
        </w:rPr>
        <w:t>20</w:t>
      </w:r>
      <w:bookmarkEnd w:id="218"/>
    </w:p>
    <w:tbl>
      <w:tblPr>
        <w:tblpPr w:leftFromText="180" w:rightFromText="180" w:bottomFromText="160" w:vertAnchor="text" w:horzAnchor="page" w:tblpX="1840" w:tblpY="215"/>
        <w:tblW w:w="9016" w:type="dxa"/>
        <w:tblLook w:val="04A0" w:firstRow="1" w:lastRow="0" w:firstColumn="1" w:lastColumn="0" w:noHBand="0" w:noVBand="1"/>
      </w:tblPr>
      <w:tblGrid>
        <w:gridCol w:w="1717"/>
        <w:gridCol w:w="1763"/>
        <w:gridCol w:w="1982"/>
        <w:gridCol w:w="1969"/>
        <w:gridCol w:w="1585"/>
      </w:tblGrid>
      <w:tr w:rsidR="0025003A" w:rsidRPr="008813FD" w14:paraId="5B5FCDE9" w14:textId="2154BB81" w:rsidTr="0025003A">
        <w:trPr>
          <w:trHeight w:val="558"/>
        </w:trPr>
        <w:tc>
          <w:tcPr>
            <w:tcW w:w="1717" w:type="dxa"/>
            <w:tcBorders>
              <w:top w:val="single" w:sz="4" w:space="0" w:color="auto"/>
              <w:left w:val="single" w:sz="4" w:space="0" w:color="auto"/>
              <w:bottom w:val="single" w:sz="4" w:space="0" w:color="auto"/>
              <w:right w:val="single" w:sz="4" w:space="0" w:color="auto"/>
            </w:tcBorders>
            <w:shd w:val="clear" w:color="auto" w:fill="C00000"/>
            <w:hideMark/>
          </w:tcPr>
          <w:p w14:paraId="6501083B" w14:textId="77777777" w:rsidR="0025003A" w:rsidRDefault="0025003A" w:rsidP="006B5512">
            <w:pPr>
              <w:rPr>
                <w:rFonts w:ascii="Arial" w:hAnsi="Arial" w:cs="Arial"/>
                <w:b/>
                <w:color w:val="FFFFFF"/>
                <w:sz w:val="20"/>
                <w:szCs w:val="20"/>
              </w:rPr>
            </w:pPr>
            <w:bookmarkStart w:id="219" w:name="_Hlk30166461"/>
            <w:r>
              <w:rPr>
                <w:rFonts w:ascii="Arial" w:hAnsi="Arial" w:cs="Arial"/>
                <w:b/>
                <w:color w:val="FFFFFF"/>
                <w:sz w:val="20"/>
                <w:szCs w:val="20"/>
              </w:rPr>
              <w:t>Total no. of targets</w:t>
            </w:r>
          </w:p>
        </w:tc>
        <w:tc>
          <w:tcPr>
            <w:tcW w:w="1763" w:type="dxa"/>
            <w:tcBorders>
              <w:top w:val="single" w:sz="4" w:space="0" w:color="auto"/>
              <w:left w:val="nil"/>
              <w:bottom w:val="single" w:sz="4" w:space="0" w:color="auto"/>
              <w:right w:val="single" w:sz="4" w:space="0" w:color="auto"/>
            </w:tcBorders>
            <w:shd w:val="clear" w:color="auto" w:fill="C00000"/>
            <w:hideMark/>
          </w:tcPr>
          <w:p w14:paraId="73A5A0B0" w14:textId="77777777" w:rsidR="0025003A" w:rsidRDefault="0025003A" w:rsidP="006B5512">
            <w:pPr>
              <w:rPr>
                <w:rFonts w:ascii="Arial" w:hAnsi="Arial" w:cs="Arial"/>
                <w:b/>
                <w:color w:val="FFFFFF"/>
                <w:sz w:val="20"/>
                <w:szCs w:val="20"/>
              </w:rPr>
            </w:pPr>
            <w:r>
              <w:rPr>
                <w:rFonts w:ascii="Arial" w:hAnsi="Arial" w:cs="Arial"/>
                <w:b/>
                <w:color w:val="FFFFFF"/>
                <w:sz w:val="20"/>
                <w:szCs w:val="20"/>
              </w:rPr>
              <w:t>Targets Achieved</w:t>
            </w:r>
          </w:p>
        </w:tc>
        <w:tc>
          <w:tcPr>
            <w:tcW w:w="1982" w:type="dxa"/>
            <w:tcBorders>
              <w:top w:val="single" w:sz="4" w:space="0" w:color="auto"/>
              <w:left w:val="nil"/>
              <w:bottom w:val="single" w:sz="4" w:space="0" w:color="auto"/>
              <w:right w:val="single" w:sz="4" w:space="0" w:color="auto"/>
            </w:tcBorders>
            <w:shd w:val="clear" w:color="auto" w:fill="C00000"/>
            <w:hideMark/>
          </w:tcPr>
          <w:p w14:paraId="3412774D" w14:textId="77777777" w:rsidR="0025003A" w:rsidRDefault="0025003A" w:rsidP="006B5512">
            <w:pPr>
              <w:rPr>
                <w:rFonts w:ascii="Arial" w:hAnsi="Arial" w:cs="Arial"/>
                <w:b/>
                <w:color w:val="FFFFFF"/>
                <w:sz w:val="20"/>
                <w:szCs w:val="20"/>
              </w:rPr>
            </w:pPr>
            <w:r>
              <w:rPr>
                <w:rFonts w:ascii="Arial" w:hAnsi="Arial" w:cs="Arial"/>
                <w:b/>
                <w:color w:val="FFFFFF"/>
                <w:sz w:val="20"/>
                <w:szCs w:val="20"/>
              </w:rPr>
              <w:t>Targets Not Achieved</w:t>
            </w:r>
          </w:p>
        </w:tc>
        <w:tc>
          <w:tcPr>
            <w:tcW w:w="1969" w:type="dxa"/>
            <w:tcBorders>
              <w:top w:val="single" w:sz="4" w:space="0" w:color="auto"/>
              <w:left w:val="nil"/>
              <w:bottom w:val="single" w:sz="4" w:space="0" w:color="auto"/>
              <w:right w:val="single" w:sz="4" w:space="0" w:color="auto"/>
            </w:tcBorders>
            <w:shd w:val="clear" w:color="auto" w:fill="C00000"/>
          </w:tcPr>
          <w:p w14:paraId="43778616" w14:textId="77777777" w:rsidR="0025003A" w:rsidRDefault="0025003A" w:rsidP="006B5512">
            <w:pPr>
              <w:rPr>
                <w:rFonts w:ascii="Arial" w:hAnsi="Arial" w:cs="Arial"/>
                <w:b/>
                <w:color w:val="FFFFFF"/>
                <w:sz w:val="20"/>
                <w:szCs w:val="20"/>
              </w:rPr>
            </w:pPr>
            <w:r>
              <w:rPr>
                <w:rFonts w:ascii="Arial" w:hAnsi="Arial" w:cs="Arial"/>
                <w:b/>
                <w:color w:val="FFFFFF"/>
                <w:sz w:val="20"/>
                <w:szCs w:val="20"/>
              </w:rPr>
              <w:t>Not Applicable in Q2</w:t>
            </w:r>
          </w:p>
        </w:tc>
        <w:tc>
          <w:tcPr>
            <w:tcW w:w="1585" w:type="dxa"/>
            <w:tcBorders>
              <w:top w:val="single" w:sz="4" w:space="0" w:color="auto"/>
              <w:left w:val="nil"/>
              <w:bottom w:val="single" w:sz="4" w:space="0" w:color="auto"/>
              <w:right w:val="single" w:sz="4" w:space="0" w:color="auto"/>
            </w:tcBorders>
            <w:shd w:val="clear" w:color="auto" w:fill="C00000"/>
          </w:tcPr>
          <w:p w14:paraId="4AA9FF48" w14:textId="650E4C78" w:rsidR="0025003A" w:rsidRDefault="0025003A" w:rsidP="006B5512">
            <w:pPr>
              <w:rPr>
                <w:rFonts w:ascii="Arial" w:hAnsi="Arial" w:cs="Arial"/>
                <w:b/>
                <w:color w:val="FFFFFF"/>
                <w:sz w:val="20"/>
                <w:szCs w:val="20"/>
              </w:rPr>
            </w:pPr>
            <w:r>
              <w:rPr>
                <w:rFonts w:ascii="Arial" w:hAnsi="Arial" w:cs="Arial"/>
                <w:b/>
                <w:color w:val="FFFFFF"/>
                <w:sz w:val="20"/>
                <w:szCs w:val="20"/>
              </w:rPr>
              <w:t>Q1 &amp; Q2 Consolidated Performance at Mid-year 31 December 2020</w:t>
            </w:r>
          </w:p>
        </w:tc>
      </w:tr>
      <w:tr w:rsidR="0025003A" w:rsidRPr="008813FD" w14:paraId="0CDAE318" w14:textId="76B34891" w:rsidTr="0025003A">
        <w:trPr>
          <w:trHeight w:val="300"/>
        </w:trPr>
        <w:tc>
          <w:tcPr>
            <w:tcW w:w="1717" w:type="dxa"/>
            <w:tcBorders>
              <w:top w:val="single" w:sz="4" w:space="0" w:color="auto"/>
              <w:left w:val="single" w:sz="4" w:space="0" w:color="auto"/>
              <w:bottom w:val="single" w:sz="4" w:space="0" w:color="auto"/>
              <w:right w:val="single" w:sz="4" w:space="0" w:color="auto"/>
            </w:tcBorders>
            <w:hideMark/>
          </w:tcPr>
          <w:p w14:paraId="056B4E45" w14:textId="77777777" w:rsidR="0025003A" w:rsidRDefault="0025003A" w:rsidP="006B5512">
            <w:pPr>
              <w:jc w:val="right"/>
              <w:rPr>
                <w:rFonts w:ascii="Arial" w:hAnsi="Arial" w:cs="Arial"/>
                <w:b/>
                <w:color w:val="000000"/>
                <w:sz w:val="20"/>
                <w:szCs w:val="20"/>
              </w:rPr>
            </w:pPr>
            <w:r>
              <w:rPr>
                <w:rFonts w:ascii="Arial" w:hAnsi="Arial" w:cs="Arial"/>
                <w:b/>
                <w:color w:val="000000"/>
                <w:sz w:val="20"/>
                <w:szCs w:val="20"/>
              </w:rPr>
              <w:t>12</w:t>
            </w:r>
          </w:p>
        </w:tc>
        <w:tc>
          <w:tcPr>
            <w:tcW w:w="1763" w:type="dxa"/>
            <w:tcBorders>
              <w:top w:val="single" w:sz="4" w:space="0" w:color="auto"/>
              <w:left w:val="nil"/>
              <w:bottom w:val="single" w:sz="4" w:space="0" w:color="auto"/>
              <w:right w:val="single" w:sz="4" w:space="0" w:color="auto"/>
            </w:tcBorders>
          </w:tcPr>
          <w:p w14:paraId="00A672C1" w14:textId="26D13046" w:rsidR="0025003A" w:rsidRDefault="0084191A" w:rsidP="006B5512">
            <w:pPr>
              <w:jc w:val="right"/>
              <w:rPr>
                <w:rFonts w:ascii="Arial" w:hAnsi="Arial" w:cs="Arial"/>
                <w:b/>
                <w:color w:val="000000"/>
                <w:sz w:val="20"/>
                <w:szCs w:val="20"/>
              </w:rPr>
            </w:pPr>
            <w:r>
              <w:rPr>
                <w:rFonts w:ascii="Arial" w:hAnsi="Arial" w:cs="Arial"/>
                <w:b/>
                <w:color w:val="000000"/>
                <w:sz w:val="20"/>
                <w:szCs w:val="20"/>
              </w:rPr>
              <w:t>06</w:t>
            </w:r>
          </w:p>
        </w:tc>
        <w:tc>
          <w:tcPr>
            <w:tcW w:w="1982" w:type="dxa"/>
            <w:tcBorders>
              <w:top w:val="single" w:sz="4" w:space="0" w:color="auto"/>
              <w:left w:val="nil"/>
              <w:bottom w:val="single" w:sz="4" w:space="0" w:color="auto"/>
              <w:right w:val="single" w:sz="4" w:space="0" w:color="auto"/>
            </w:tcBorders>
          </w:tcPr>
          <w:p w14:paraId="0C8D06BF" w14:textId="77777777" w:rsidR="0025003A" w:rsidRDefault="0025003A" w:rsidP="006B5512">
            <w:pPr>
              <w:jc w:val="right"/>
              <w:rPr>
                <w:rFonts w:ascii="Arial" w:hAnsi="Arial" w:cs="Arial"/>
                <w:b/>
                <w:color w:val="000000"/>
                <w:sz w:val="20"/>
                <w:szCs w:val="20"/>
              </w:rPr>
            </w:pPr>
            <w:r>
              <w:rPr>
                <w:rFonts w:ascii="Arial" w:hAnsi="Arial" w:cs="Arial"/>
                <w:b/>
                <w:color w:val="000000"/>
                <w:sz w:val="20"/>
                <w:szCs w:val="20"/>
              </w:rPr>
              <w:t>03</w:t>
            </w:r>
          </w:p>
        </w:tc>
        <w:tc>
          <w:tcPr>
            <w:tcW w:w="1969" w:type="dxa"/>
            <w:tcBorders>
              <w:top w:val="single" w:sz="4" w:space="0" w:color="auto"/>
              <w:left w:val="nil"/>
              <w:bottom w:val="single" w:sz="4" w:space="0" w:color="auto"/>
              <w:right w:val="single" w:sz="4" w:space="0" w:color="auto"/>
            </w:tcBorders>
          </w:tcPr>
          <w:p w14:paraId="19487C72" w14:textId="77777777" w:rsidR="0025003A" w:rsidRDefault="0025003A" w:rsidP="006B5512">
            <w:pPr>
              <w:jc w:val="right"/>
              <w:rPr>
                <w:rFonts w:ascii="Arial" w:hAnsi="Arial" w:cs="Arial"/>
                <w:b/>
                <w:color w:val="000000"/>
                <w:sz w:val="20"/>
                <w:szCs w:val="20"/>
              </w:rPr>
            </w:pPr>
            <w:r>
              <w:rPr>
                <w:rFonts w:ascii="Arial" w:hAnsi="Arial" w:cs="Arial"/>
                <w:b/>
                <w:color w:val="000000"/>
                <w:sz w:val="20"/>
                <w:szCs w:val="20"/>
              </w:rPr>
              <w:t>03</w:t>
            </w:r>
          </w:p>
        </w:tc>
        <w:tc>
          <w:tcPr>
            <w:tcW w:w="1585" w:type="dxa"/>
            <w:tcBorders>
              <w:top w:val="single" w:sz="4" w:space="0" w:color="auto"/>
              <w:left w:val="nil"/>
              <w:bottom w:val="single" w:sz="4" w:space="0" w:color="auto"/>
              <w:right w:val="single" w:sz="4" w:space="0" w:color="auto"/>
            </w:tcBorders>
          </w:tcPr>
          <w:p w14:paraId="56F3D397" w14:textId="1FF59271" w:rsidR="0025003A" w:rsidRDefault="0084191A" w:rsidP="006B5512">
            <w:pPr>
              <w:jc w:val="right"/>
              <w:rPr>
                <w:rFonts w:ascii="Arial" w:hAnsi="Arial" w:cs="Arial"/>
                <w:b/>
                <w:color w:val="000000"/>
                <w:sz w:val="20"/>
                <w:szCs w:val="20"/>
              </w:rPr>
            </w:pPr>
            <w:r>
              <w:rPr>
                <w:rFonts w:ascii="Arial" w:hAnsi="Arial" w:cs="Arial"/>
                <w:b/>
                <w:color w:val="000000"/>
                <w:sz w:val="20"/>
                <w:szCs w:val="20"/>
              </w:rPr>
              <w:t>08</w:t>
            </w:r>
          </w:p>
        </w:tc>
      </w:tr>
      <w:tr w:rsidR="0025003A" w:rsidRPr="008813FD" w14:paraId="5E1837CC" w14:textId="63093DDE" w:rsidTr="0025003A">
        <w:trPr>
          <w:trHeight w:val="344"/>
        </w:trPr>
        <w:tc>
          <w:tcPr>
            <w:tcW w:w="1717" w:type="dxa"/>
            <w:tcBorders>
              <w:top w:val="single" w:sz="4" w:space="0" w:color="auto"/>
              <w:left w:val="single" w:sz="4" w:space="0" w:color="auto"/>
              <w:bottom w:val="single" w:sz="4" w:space="0" w:color="auto"/>
              <w:right w:val="single" w:sz="4" w:space="0" w:color="auto"/>
            </w:tcBorders>
            <w:hideMark/>
          </w:tcPr>
          <w:p w14:paraId="4446B7FE" w14:textId="77777777" w:rsidR="0025003A" w:rsidRDefault="0025003A" w:rsidP="006B5512">
            <w:pPr>
              <w:rPr>
                <w:rFonts w:ascii="Arial" w:hAnsi="Arial" w:cs="Arial"/>
                <w:b/>
                <w:color w:val="000000"/>
                <w:sz w:val="20"/>
                <w:szCs w:val="20"/>
              </w:rPr>
            </w:pPr>
            <w:r>
              <w:rPr>
                <w:rFonts w:ascii="Arial" w:hAnsi="Arial" w:cs="Arial"/>
                <w:b/>
                <w:color w:val="000000"/>
                <w:sz w:val="20"/>
                <w:szCs w:val="20"/>
              </w:rPr>
              <w:t>Percentage achievement</w:t>
            </w:r>
          </w:p>
        </w:tc>
        <w:tc>
          <w:tcPr>
            <w:tcW w:w="1763" w:type="dxa"/>
            <w:tcBorders>
              <w:top w:val="single" w:sz="4" w:space="0" w:color="auto"/>
              <w:left w:val="nil"/>
              <w:bottom w:val="single" w:sz="4" w:space="0" w:color="auto"/>
              <w:right w:val="single" w:sz="4" w:space="0" w:color="auto"/>
            </w:tcBorders>
          </w:tcPr>
          <w:p w14:paraId="680D6A2B" w14:textId="046E5267" w:rsidR="0025003A" w:rsidRDefault="0084191A" w:rsidP="006B5512">
            <w:pPr>
              <w:jc w:val="right"/>
              <w:rPr>
                <w:rFonts w:ascii="Arial" w:hAnsi="Arial" w:cs="Arial"/>
                <w:b/>
                <w:color w:val="000000"/>
                <w:sz w:val="20"/>
                <w:szCs w:val="20"/>
              </w:rPr>
            </w:pPr>
            <w:r>
              <w:rPr>
                <w:rFonts w:ascii="Arial" w:hAnsi="Arial" w:cs="Arial"/>
                <w:b/>
                <w:color w:val="000000"/>
                <w:sz w:val="20"/>
                <w:szCs w:val="20"/>
              </w:rPr>
              <w:t>66.6</w:t>
            </w:r>
            <w:r w:rsidR="0025003A">
              <w:rPr>
                <w:rFonts w:ascii="Arial" w:hAnsi="Arial" w:cs="Arial"/>
                <w:b/>
                <w:color w:val="000000"/>
                <w:sz w:val="20"/>
                <w:szCs w:val="20"/>
              </w:rPr>
              <w:t>%</w:t>
            </w:r>
          </w:p>
        </w:tc>
        <w:tc>
          <w:tcPr>
            <w:tcW w:w="1982" w:type="dxa"/>
            <w:tcBorders>
              <w:top w:val="single" w:sz="4" w:space="0" w:color="auto"/>
              <w:left w:val="nil"/>
              <w:bottom w:val="single" w:sz="4" w:space="0" w:color="auto"/>
              <w:right w:val="single" w:sz="4" w:space="0" w:color="auto"/>
            </w:tcBorders>
          </w:tcPr>
          <w:p w14:paraId="65AEE283" w14:textId="77777777" w:rsidR="0025003A" w:rsidRDefault="0025003A" w:rsidP="006B5512">
            <w:pPr>
              <w:jc w:val="right"/>
              <w:rPr>
                <w:rFonts w:ascii="Arial" w:hAnsi="Arial" w:cs="Arial"/>
                <w:b/>
                <w:color w:val="000000"/>
                <w:sz w:val="20"/>
                <w:szCs w:val="20"/>
              </w:rPr>
            </w:pPr>
            <w:r>
              <w:rPr>
                <w:rFonts w:ascii="Arial" w:hAnsi="Arial" w:cs="Arial"/>
                <w:b/>
                <w:color w:val="000000"/>
                <w:sz w:val="20"/>
                <w:szCs w:val="20"/>
              </w:rPr>
              <w:t>33.3%</w:t>
            </w:r>
          </w:p>
        </w:tc>
        <w:tc>
          <w:tcPr>
            <w:tcW w:w="1969" w:type="dxa"/>
            <w:tcBorders>
              <w:top w:val="single" w:sz="4" w:space="0" w:color="auto"/>
              <w:left w:val="nil"/>
              <w:bottom w:val="single" w:sz="4" w:space="0" w:color="auto"/>
              <w:right w:val="single" w:sz="4" w:space="0" w:color="auto"/>
            </w:tcBorders>
          </w:tcPr>
          <w:p w14:paraId="0134B534" w14:textId="77777777" w:rsidR="0025003A" w:rsidRDefault="0025003A" w:rsidP="006B5512">
            <w:pPr>
              <w:jc w:val="right"/>
              <w:rPr>
                <w:rFonts w:ascii="Arial" w:hAnsi="Arial" w:cs="Arial"/>
                <w:b/>
                <w:color w:val="000000"/>
                <w:sz w:val="20"/>
                <w:szCs w:val="20"/>
              </w:rPr>
            </w:pPr>
            <w:r>
              <w:rPr>
                <w:rFonts w:ascii="Arial" w:hAnsi="Arial" w:cs="Arial"/>
                <w:b/>
                <w:color w:val="000000"/>
                <w:sz w:val="20"/>
                <w:szCs w:val="20"/>
              </w:rPr>
              <w:t>25%</w:t>
            </w:r>
          </w:p>
        </w:tc>
        <w:tc>
          <w:tcPr>
            <w:tcW w:w="1585" w:type="dxa"/>
            <w:tcBorders>
              <w:top w:val="single" w:sz="4" w:space="0" w:color="auto"/>
              <w:left w:val="nil"/>
              <w:bottom w:val="single" w:sz="4" w:space="0" w:color="auto"/>
              <w:right w:val="single" w:sz="4" w:space="0" w:color="auto"/>
            </w:tcBorders>
          </w:tcPr>
          <w:p w14:paraId="74974AB5" w14:textId="2AD78180" w:rsidR="0025003A" w:rsidRDefault="0084191A" w:rsidP="006B5512">
            <w:pPr>
              <w:jc w:val="right"/>
              <w:rPr>
                <w:rFonts w:ascii="Arial" w:hAnsi="Arial" w:cs="Arial"/>
                <w:b/>
                <w:color w:val="000000"/>
                <w:sz w:val="20"/>
                <w:szCs w:val="20"/>
              </w:rPr>
            </w:pPr>
            <w:r>
              <w:rPr>
                <w:rFonts w:ascii="Arial" w:hAnsi="Arial" w:cs="Arial"/>
                <w:b/>
                <w:color w:val="000000"/>
                <w:sz w:val="20"/>
                <w:szCs w:val="20"/>
              </w:rPr>
              <w:t>88.8</w:t>
            </w:r>
            <w:r w:rsidR="0025003A">
              <w:rPr>
                <w:rFonts w:ascii="Arial" w:hAnsi="Arial" w:cs="Arial"/>
                <w:b/>
                <w:color w:val="000000"/>
                <w:sz w:val="20"/>
                <w:szCs w:val="20"/>
              </w:rPr>
              <w:t>%</w:t>
            </w:r>
          </w:p>
        </w:tc>
      </w:tr>
      <w:bookmarkEnd w:id="219"/>
    </w:tbl>
    <w:p w14:paraId="622177E2" w14:textId="77777777" w:rsidR="000827F0" w:rsidRDefault="000827F0" w:rsidP="000827F0">
      <w:pPr>
        <w:pStyle w:val="ListParagraph"/>
        <w:ind w:left="426"/>
        <w:rPr>
          <w:rFonts w:ascii="Arial" w:hAnsi="Arial" w:cs="Arial"/>
          <w:noProof/>
          <w:sz w:val="20"/>
          <w:szCs w:val="20"/>
        </w:rPr>
      </w:pPr>
    </w:p>
    <w:p w14:paraId="6501BB9C" w14:textId="61019059" w:rsidR="00065950" w:rsidRDefault="005D068C" w:rsidP="00385F9B">
      <w:pPr>
        <w:jc w:val="both"/>
        <w:rPr>
          <w:rFonts w:ascii="Arial" w:hAnsi="Arial" w:cs="Arial"/>
          <w:b/>
          <w:bCs/>
          <w:sz w:val="20"/>
          <w:szCs w:val="20"/>
        </w:rPr>
      </w:pPr>
      <w:r>
        <w:rPr>
          <w:noProof/>
          <w:lang w:val="en-US" w:eastAsia="en-US"/>
        </w:rPr>
        <w:drawing>
          <wp:inline distT="0" distB="0" distL="0" distR="0" wp14:anchorId="33CD7023" wp14:editId="38170D42">
            <wp:extent cx="5172075" cy="30480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0BA33E" w14:textId="77777777" w:rsidR="005D068C" w:rsidRDefault="005D068C" w:rsidP="00385F9B">
      <w:pPr>
        <w:jc w:val="both"/>
        <w:rPr>
          <w:rFonts w:ascii="Arial" w:hAnsi="Arial" w:cs="Arial"/>
          <w:b/>
          <w:bCs/>
          <w:sz w:val="20"/>
          <w:szCs w:val="20"/>
        </w:rPr>
      </w:pPr>
    </w:p>
    <w:p w14:paraId="25C3D9DA" w14:textId="43800762" w:rsidR="0025003A" w:rsidRDefault="0025003A" w:rsidP="0025003A">
      <w:pPr>
        <w:pStyle w:val="ListParagraph"/>
        <w:ind w:left="644"/>
        <w:rPr>
          <w:rFonts w:ascii="Arial" w:hAnsi="Arial" w:cs="Arial"/>
          <w:b/>
          <w:bCs/>
          <w:noProof/>
          <w:color w:val="000000" w:themeColor="text1"/>
          <w:sz w:val="20"/>
          <w:szCs w:val="20"/>
        </w:rPr>
      </w:pPr>
      <w:r w:rsidRPr="00776589">
        <w:rPr>
          <w:rFonts w:ascii="Arial" w:hAnsi="Arial" w:cs="Arial"/>
          <w:b/>
          <w:bCs/>
          <w:noProof/>
          <w:color w:val="000000" w:themeColor="text1"/>
          <w:sz w:val="20"/>
          <w:szCs w:val="20"/>
        </w:rPr>
        <w:lastRenderedPageBreak/>
        <w:t>The table below lists indicators that were not achieved during the quarter and remedial actions thereof:</w:t>
      </w:r>
    </w:p>
    <w:p w14:paraId="21A81784" w14:textId="77777777" w:rsidR="00D45A44" w:rsidRPr="00776589" w:rsidRDefault="00D45A44" w:rsidP="0025003A">
      <w:pPr>
        <w:pStyle w:val="ListParagraph"/>
        <w:ind w:left="644"/>
        <w:rPr>
          <w:rFonts w:ascii="Arial" w:hAnsi="Arial" w:cs="Arial"/>
          <w:b/>
          <w:bCs/>
          <w:noProof/>
          <w:color w:val="000000" w:themeColor="text1"/>
          <w:sz w:val="20"/>
          <w:szCs w:val="20"/>
        </w:rPr>
      </w:pPr>
    </w:p>
    <w:tbl>
      <w:tblPr>
        <w:tblStyle w:val="TableGrid1"/>
        <w:tblW w:w="11457" w:type="dxa"/>
        <w:tblInd w:w="-1222" w:type="dxa"/>
        <w:tblLayout w:type="fixed"/>
        <w:tblLook w:val="04A0" w:firstRow="1" w:lastRow="0" w:firstColumn="1" w:lastColumn="0" w:noHBand="0" w:noVBand="1"/>
      </w:tblPr>
      <w:tblGrid>
        <w:gridCol w:w="947"/>
        <w:gridCol w:w="1690"/>
        <w:gridCol w:w="1890"/>
        <w:gridCol w:w="1890"/>
        <w:gridCol w:w="1890"/>
        <w:gridCol w:w="3150"/>
      </w:tblGrid>
      <w:tr w:rsidR="0025003A" w:rsidRPr="00D45A44" w14:paraId="1D56938C" w14:textId="77777777" w:rsidTr="00D45A44">
        <w:trPr>
          <w:trHeight w:val="416"/>
        </w:trPr>
        <w:tc>
          <w:tcPr>
            <w:tcW w:w="11457" w:type="dxa"/>
            <w:gridSpan w:val="6"/>
            <w:shd w:val="clear" w:color="auto" w:fill="92D050"/>
          </w:tcPr>
          <w:p w14:paraId="12D55625" w14:textId="23204209" w:rsidR="0025003A" w:rsidRPr="00D45A44" w:rsidRDefault="0025003A" w:rsidP="006B5512">
            <w:pPr>
              <w:jc w:val="center"/>
              <w:rPr>
                <w:rFonts w:ascii="Arial" w:eastAsia="Calibri" w:hAnsi="Arial" w:cs="Arial"/>
                <w:b/>
                <w:sz w:val="18"/>
                <w:szCs w:val="18"/>
              </w:rPr>
            </w:pPr>
            <w:r w:rsidRPr="00D45A44">
              <w:rPr>
                <w:rFonts w:ascii="Arial" w:eastAsia="Calibri" w:hAnsi="Arial" w:cs="Arial"/>
                <w:b/>
                <w:sz w:val="18"/>
                <w:szCs w:val="18"/>
              </w:rPr>
              <w:t>CORPORATE SUPPORT SERVICES DEPARTMENT</w:t>
            </w:r>
          </w:p>
        </w:tc>
      </w:tr>
      <w:tr w:rsidR="0025003A" w:rsidRPr="00D45A44" w14:paraId="7B1FB329" w14:textId="77777777" w:rsidTr="00D45A44">
        <w:tc>
          <w:tcPr>
            <w:tcW w:w="947" w:type="dxa"/>
            <w:shd w:val="clear" w:color="auto" w:fill="92D050"/>
          </w:tcPr>
          <w:p w14:paraId="1D672DFD" w14:textId="77777777" w:rsidR="0025003A" w:rsidRPr="00D45A44" w:rsidRDefault="0025003A" w:rsidP="006B5512">
            <w:pPr>
              <w:spacing w:after="200" w:line="276" w:lineRule="auto"/>
              <w:rPr>
                <w:rFonts w:ascii="Arial" w:eastAsia="Calibri" w:hAnsi="Arial" w:cs="Arial"/>
                <w:b/>
                <w:sz w:val="18"/>
                <w:szCs w:val="18"/>
              </w:rPr>
            </w:pPr>
            <w:r w:rsidRPr="00D45A44">
              <w:rPr>
                <w:rFonts w:ascii="Arial" w:eastAsia="Calibri" w:hAnsi="Arial" w:cs="Arial"/>
                <w:b/>
                <w:sz w:val="18"/>
                <w:szCs w:val="18"/>
              </w:rPr>
              <w:t>SDBIP NO.</w:t>
            </w:r>
          </w:p>
          <w:p w14:paraId="1A5C0B5E" w14:textId="77777777" w:rsidR="0025003A" w:rsidRPr="00D45A44" w:rsidRDefault="0025003A" w:rsidP="006B5512">
            <w:pPr>
              <w:spacing w:after="200" w:line="276" w:lineRule="auto"/>
              <w:rPr>
                <w:rFonts w:ascii="Arial" w:eastAsia="Calibri" w:hAnsi="Arial" w:cs="Arial"/>
                <w:sz w:val="18"/>
                <w:szCs w:val="18"/>
              </w:rPr>
            </w:pPr>
          </w:p>
        </w:tc>
        <w:tc>
          <w:tcPr>
            <w:tcW w:w="1690" w:type="dxa"/>
            <w:shd w:val="clear" w:color="auto" w:fill="92D050"/>
          </w:tcPr>
          <w:p w14:paraId="582CE16D" w14:textId="77777777" w:rsidR="0025003A" w:rsidRPr="00D45A44" w:rsidRDefault="0025003A" w:rsidP="006B5512">
            <w:pPr>
              <w:spacing w:after="200" w:line="276" w:lineRule="auto"/>
              <w:rPr>
                <w:rFonts w:ascii="Arial" w:eastAsia="Calibri" w:hAnsi="Arial" w:cs="Arial"/>
                <w:b/>
                <w:sz w:val="18"/>
                <w:szCs w:val="18"/>
              </w:rPr>
            </w:pPr>
            <w:r w:rsidRPr="00D45A44">
              <w:rPr>
                <w:rFonts w:ascii="Arial" w:eastAsia="Calibri" w:hAnsi="Arial" w:cs="Arial"/>
                <w:b/>
                <w:sz w:val="18"/>
                <w:szCs w:val="18"/>
              </w:rPr>
              <w:t>KEY PERFORMANCE INDICATOR</w:t>
            </w:r>
          </w:p>
        </w:tc>
        <w:tc>
          <w:tcPr>
            <w:tcW w:w="1890" w:type="dxa"/>
            <w:shd w:val="clear" w:color="auto" w:fill="92D050"/>
          </w:tcPr>
          <w:p w14:paraId="4CD0E8FD" w14:textId="77777777" w:rsidR="0025003A" w:rsidRPr="00D45A44" w:rsidRDefault="0025003A" w:rsidP="006B5512">
            <w:pPr>
              <w:spacing w:after="200" w:line="276" w:lineRule="auto"/>
              <w:rPr>
                <w:rFonts w:ascii="Arial" w:eastAsia="Calibri" w:hAnsi="Arial" w:cs="Arial"/>
                <w:b/>
                <w:sz w:val="18"/>
                <w:szCs w:val="18"/>
              </w:rPr>
            </w:pPr>
            <w:r w:rsidRPr="00D45A44">
              <w:rPr>
                <w:rFonts w:ascii="Arial" w:eastAsia="Calibri" w:hAnsi="Arial" w:cs="Arial"/>
                <w:b/>
                <w:sz w:val="18"/>
                <w:szCs w:val="18"/>
              </w:rPr>
              <w:t>Q2 TARGET</w:t>
            </w:r>
          </w:p>
        </w:tc>
        <w:tc>
          <w:tcPr>
            <w:tcW w:w="1890" w:type="dxa"/>
            <w:shd w:val="clear" w:color="auto" w:fill="92D050"/>
          </w:tcPr>
          <w:p w14:paraId="05871C50" w14:textId="77777777" w:rsidR="0025003A" w:rsidRPr="00D45A44" w:rsidRDefault="0025003A" w:rsidP="006B5512">
            <w:pPr>
              <w:spacing w:after="200" w:line="276" w:lineRule="auto"/>
              <w:rPr>
                <w:rFonts w:ascii="Arial" w:eastAsia="Calibri" w:hAnsi="Arial" w:cs="Arial"/>
                <w:b/>
                <w:sz w:val="18"/>
                <w:szCs w:val="18"/>
              </w:rPr>
            </w:pPr>
            <w:r w:rsidRPr="00D45A44">
              <w:rPr>
                <w:rFonts w:ascii="Arial" w:eastAsia="Calibri" w:hAnsi="Arial" w:cs="Arial"/>
                <w:b/>
                <w:sz w:val="18"/>
                <w:szCs w:val="18"/>
              </w:rPr>
              <w:t>PERFORMANCE CLAIMED</w:t>
            </w:r>
          </w:p>
        </w:tc>
        <w:tc>
          <w:tcPr>
            <w:tcW w:w="1890" w:type="dxa"/>
            <w:shd w:val="clear" w:color="auto" w:fill="92D050"/>
          </w:tcPr>
          <w:p w14:paraId="2B55D9D8" w14:textId="77777777" w:rsidR="0025003A" w:rsidRPr="00D45A44" w:rsidRDefault="0025003A" w:rsidP="006B5512">
            <w:pPr>
              <w:spacing w:after="200" w:line="276" w:lineRule="auto"/>
              <w:rPr>
                <w:rFonts w:ascii="Arial" w:eastAsia="Calibri" w:hAnsi="Arial" w:cs="Arial"/>
                <w:b/>
                <w:sz w:val="18"/>
                <w:szCs w:val="18"/>
              </w:rPr>
            </w:pPr>
            <w:r w:rsidRPr="00D45A44">
              <w:rPr>
                <w:rFonts w:ascii="Arial" w:eastAsia="Calibri" w:hAnsi="Arial" w:cs="Arial"/>
                <w:b/>
                <w:sz w:val="18"/>
                <w:szCs w:val="18"/>
              </w:rPr>
              <w:t>REASONS FOR NOT ACHIEVING CUMULATIVE TARGET</w:t>
            </w:r>
          </w:p>
        </w:tc>
        <w:tc>
          <w:tcPr>
            <w:tcW w:w="3150" w:type="dxa"/>
            <w:shd w:val="clear" w:color="auto" w:fill="92D050"/>
          </w:tcPr>
          <w:p w14:paraId="1792F077" w14:textId="77777777" w:rsidR="0025003A" w:rsidRPr="00D45A44" w:rsidRDefault="0025003A" w:rsidP="006B5512">
            <w:pPr>
              <w:rPr>
                <w:rFonts w:ascii="Arial" w:eastAsia="Calibri" w:hAnsi="Arial" w:cs="Arial"/>
                <w:b/>
                <w:sz w:val="18"/>
                <w:szCs w:val="18"/>
              </w:rPr>
            </w:pPr>
            <w:r w:rsidRPr="00D45A44">
              <w:rPr>
                <w:rFonts w:ascii="Arial" w:eastAsia="Calibri" w:hAnsi="Arial" w:cs="Arial"/>
                <w:b/>
                <w:sz w:val="18"/>
                <w:szCs w:val="18"/>
              </w:rPr>
              <w:t>REMEDIAL ACTIONS</w:t>
            </w:r>
          </w:p>
        </w:tc>
      </w:tr>
      <w:tr w:rsidR="0025003A" w:rsidRPr="00D45A44" w14:paraId="329A219F" w14:textId="77777777" w:rsidTr="00D45A44">
        <w:tc>
          <w:tcPr>
            <w:tcW w:w="947" w:type="dxa"/>
          </w:tcPr>
          <w:p w14:paraId="64CA9813" w14:textId="33A3421B"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CORP 1</w:t>
            </w:r>
          </w:p>
        </w:tc>
        <w:tc>
          <w:tcPr>
            <w:tcW w:w="1690" w:type="dxa"/>
          </w:tcPr>
          <w:p w14:paraId="4B391021" w14:textId="74C9664D"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Number of policies reviewed and approved by Council</w:t>
            </w:r>
          </w:p>
        </w:tc>
        <w:tc>
          <w:tcPr>
            <w:tcW w:w="1890" w:type="dxa"/>
          </w:tcPr>
          <w:p w14:paraId="37D5897F" w14:textId="191BDE9B"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27 HR Policies presented to LLF</w:t>
            </w:r>
          </w:p>
        </w:tc>
        <w:tc>
          <w:tcPr>
            <w:tcW w:w="1890" w:type="dxa"/>
          </w:tcPr>
          <w:p w14:paraId="628232F1" w14:textId="2F7EE6F5"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Target Not Achieved, no policies were presented to LLF during Q2 of 2020/21</w:t>
            </w:r>
          </w:p>
        </w:tc>
        <w:tc>
          <w:tcPr>
            <w:tcW w:w="1890" w:type="dxa"/>
          </w:tcPr>
          <w:p w14:paraId="37E93938" w14:textId="56EC49A7" w:rsidR="0025003A" w:rsidRPr="00D45A44" w:rsidRDefault="008311EC" w:rsidP="006B5512">
            <w:pPr>
              <w:jc w:val="both"/>
              <w:rPr>
                <w:rFonts w:ascii="Arial" w:hAnsi="Arial" w:cs="Arial"/>
                <w:sz w:val="18"/>
                <w:szCs w:val="18"/>
              </w:rPr>
            </w:pPr>
            <w:r w:rsidRPr="00D45A44">
              <w:rPr>
                <w:rFonts w:ascii="Arial" w:hAnsi="Arial" w:cs="Arial"/>
                <w:sz w:val="18"/>
                <w:szCs w:val="18"/>
              </w:rPr>
              <w:t>The LLF is not functional hence policies could not be presented.</w:t>
            </w:r>
          </w:p>
        </w:tc>
        <w:tc>
          <w:tcPr>
            <w:tcW w:w="3150" w:type="dxa"/>
          </w:tcPr>
          <w:p w14:paraId="0944E1E1" w14:textId="281B971A"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 xml:space="preserve">A report has been tabled to Council to replace ineffective members and that will improve the functionality of LLF. These policies will then be tabled before the end of Q3 of 2020/21. </w:t>
            </w:r>
          </w:p>
        </w:tc>
      </w:tr>
      <w:tr w:rsidR="0025003A" w:rsidRPr="00D45A44" w14:paraId="5ABEAAC0" w14:textId="77777777" w:rsidTr="00D45A44">
        <w:tc>
          <w:tcPr>
            <w:tcW w:w="947" w:type="dxa"/>
          </w:tcPr>
          <w:p w14:paraId="6AEABE4A" w14:textId="3E9AA1F9"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CORP 3</w:t>
            </w:r>
          </w:p>
        </w:tc>
        <w:tc>
          <w:tcPr>
            <w:tcW w:w="1690" w:type="dxa"/>
          </w:tcPr>
          <w:p w14:paraId="4A93125F" w14:textId="33ADA2E7"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Number of Wellness Programmes conducted</w:t>
            </w:r>
          </w:p>
        </w:tc>
        <w:tc>
          <w:tcPr>
            <w:tcW w:w="1890" w:type="dxa"/>
          </w:tcPr>
          <w:p w14:paraId="07349929" w14:textId="7465336D"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1</w:t>
            </w:r>
          </w:p>
        </w:tc>
        <w:tc>
          <w:tcPr>
            <w:tcW w:w="1890" w:type="dxa"/>
          </w:tcPr>
          <w:p w14:paraId="07E47AC9" w14:textId="39A8002E"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Target Not Achieved,  0 wellness day was conducted during Q2 of 2020/21</w:t>
            </w:r>
          </w:p>
        </w:tc>
        <w:tc>
          <w:tcPr>
            <w:tcW w:w="1890" w:type="dxa"/>
          </w:tcPr>
          <w:p w14:paraId="63473008" w14:textId="47A4A059" w:rsidR="0025003A" w:rsidRPr="00D45A44" w:rsidRDefault="008311EC" w:rsidP="006B5512">
            <w:pPr>
              <w:jc w:val="both"/>
              <w:rPr>
                <w:rFonts w:ascii="Arial" w:hAnsi="Arial" w:cs="Arial"/>
                <w:sz w:val="18"/>
                <w:szCs w:val="18"/>
              </w:rPr>
            </w:pPr>
            <w:r w:rsidRPr="00D45A44">
              <w:rPr>
                <w:rFonts w:ascii="Arial" w:hAnsi="Arial" w:cs="Arial"/>
                <w:sz w:val="18"/>
                <w:szCs w:val="18"/>
              </w:rPr>
              <w:t>Gatherings were not allowed due to Covid-19 regulations.</w:t>
            </w:r>
          </w:p>
        </w:tc>
        <w:tc>
          <w:tcPr>
            <w:tcW w:w="3150" w:type="dxa"/>
          </w:tcPr>
          <w:p w14:paraId="3D0A99E5" w14:textId="7CF42A72"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Given the increase of corona-virus infections the department could not be able to specify the exact date when will this programme be held. However at the strategic planning session this matter would be discussed to check the possibility of using other alternatives methods in order to achieve this target.</w:t>
            </w:r>
          </w:p>
        </w:tc>
      </w:tr>
      <w:tr w:rsidR="0025003A" w:rsidRPr="00D45A44" w14:paraId="10886D2D" w14:textId="77777777" w:rsidTr="00D45A44">
        <w:tc>
          <w:tcPr>
            <w:tcW w:w="947" w:type="dxa"/>
          </w:tcPr>
          <w:p w14:paraId="4763C6A0" w14:textId="5CF9BF85"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CORP 6</w:t>
            </w:r>
          </w:p>
        </w:tc>
        <w:tc>
          <w:tcPr>
            <w:tcW w:w="1690" w:type="dxa"/>
          </w:tcPr>
          <w:p w14:paraId="59C7CD94" w14:textId="4C5CC3D1"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Number of Cou</w:t>
            </w:r>
            <w:r w:rsidR="008C06BB" w:rsidRPr="00D45A44">
              <w:rPr>
                <w:rFonts w:ascii="Arial" w:eastAsia="Calibri" w:hAnsi="Arial" w:cs="Arial"/>
                <w:bCs/>
                <w:sz w:val="18"/>
                <w:szCs w:val="18"/>
              </w:rPr>
              <w:t>ncillors training programmes co</w:t>
            </w:r>
            <w:r w:rsidRPr="00D45A44">
              <w:rPr>
                <w:rFonts w:ascii="Arial" w:eastAsia="Calibri" w:hAnsi="Arial" w:cs="Arial"/>
                <w:bCs/>
                <w:sz w:val="18"/>
                <w:szCs w:val="18"/>
              </w:rPr>
              <w:t>o</w:t>
            </w:r>
            <w:r w:rsidR="008C06BB" w:rsidRPr="00D45A44">
              <w:rPr>
                <w:rFonts w:ascii="Arial" w:eastAsia="Calibri" w:hAnsi="Arial" w:cs="Arial"/>
                <w:bCs/>
                <w:sz w:val="18"/>
                <w:szCs w:val="18"/>
              </w:rPr>
              <w:t>r</w:t>
            </w:r>
            <w:r w:rsidRPr="00D45A44">
              <w:rPr>
                <w:rFonts w:ascii="Arial" w:eastAsia="Calibri" w:hAnsi="Arial" w:cs="Arial"/>
                <w:bCs/>
                <w:sz w:val="18"/>
                <w:szCs w:val="18"/>
              </w:rPr>
              <w:t>dinated</w:t>
            </w:r>
          </w:p>
        </w:tc>
        <w:tc>
          <w:tcPr>
            <w:tcW w:w="1890" w:type="dxa"/>
          </w:tcPr>
          <w:p w14:paraId="61267E5B" w14:textId="5BDCAAD0"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1</w:t>
            </w:r>
          </w:p>
        </w:tc>
        <w:tc>
          <w:tcPr>
            <w:tcW w:w="1890" w:type="dxa"/>
          </w:tcPr>
          <w:p w14:paraId="1CCA4FDD" w14:textId="2DD576B8"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Target was not achieved, 0 Councillor training programme was coordinated during Q2 of 2020/21</w:t>
            </w:r>
          </w:p>
        </w:tc>
        <w:tc>
          <w:tcPr>
            <w:tcW w:w="1890" w:type="dxa"/>
          </w:tcPr>
          <w:p w14:paraId="18668CDB" w14:textId="4A054E3F" w:rsidR="0025003A" w:rsidRPr="00D45A44" w:rsidRDefault="008311EC" w:rsidP="006B5512">
            <w:pPr>
              <w:jc w:val="both"/>
              <w:rPr>
                <w:rFonts w:ascii="Arial" w:hAnsi="Arial" w:cs="Arial"/>
                <w:sz w:val="18"/>
                <w:szCs w:val="18"/>
              </w:rPr>
            </w:pPr>
            <w:r w:rsidRPr="00D45A44">
              <w:rPr>
                <w:rFonts w:ascii="Arial" w:hAnsi="Arial" w:cs="Arial"/>
                <w:sz w:val="18"/>
                <w:szCs w:val="18"/>
              </w:rPr>
              <w:t xml:space="preserve">In conjunction with the SCM the department was able to prepare a tender document to appoint a suitable service provider for the provision of this training to 29 Councillors however no service provider purchased the tender document.  </w:t>
            </w:r>
          </w:p>
        </w:tc>
        <w:tc>
          <w:tcPr>
            <w:tcW w:w="3150" w:type="dxa"/>
          </w:tcPr>
          <w:p w14:paraId="3136708C" w14:textId="2E49ACBD" w:rsidR="0025003A" w:rsidRPr="00D45A44" w:rsidRDefault="008311EC" w:rsidP="006B5512">
            <w:pPr>
              <w:rPr>
                <w:rFonts w:ascii="Arial" w:eastAsia="Calibri" w:hAnsi="Arial" w:cs="Arial"/>
                <w:bCs/>
                <w:sz w:val="18"/>
                <w:szCs w:val="18"/>
              </w:rPr>
            </w:pPr>
            <w:r w:rsidRPr="00D45A44">
              <w:rPr>
                <w:rFonts w:ascii="Arial" w:eastAsia="Calibri" w:hAnsi="Arial" w:cs="Arial"/>
                <w:bCs/>
                <w:sz w:val="18"/>
                <w:szCs w:val="18"/>
              </w:rPr>
              <w:t xml:space="preserve">The project would be re-advertised in Quarter 3 of 2020/21 and the department would strategize on how </w:t>
            </w:r>
            <w:r w:rsidR="008C06BB" w:rsidRPr="00D45A44">
              <w:rPr>
                <w:rFonts w:ascii="Arial" w:eastAsia="Calibri" w:hAnsi="Arial" w:cs="Arial"/>
                <w:bCs/>
                <w:sz w:val="18"/>
                <w:szCs w:val="18"/>
              </w:rPr>
              <w:t>this project could</w:t>
            </w:r>
            <w:r w:rsidRPr="00D45A44">
              <w:rPr>
                <w:rFonts w:ascii="Arial" w:eastAsia="Calibri" w:hAnsi="Arial" w:cs="Arial"/>
                <w:bCs/>
                <w:sz w:val="18"/>
                <w:szCs w:val="18"/>
              </w:rPr>
              <w:t xml:space="preserve"> be implemented given the challenges with disaster management level 3 regulations.</w:t>
            </w:r>
          </w:p>
        </w:tc>
      </w:tr>
    </w:tbl>
    <w:p w14:paraId="58FB26F2" w14:textId="77777777" w:rsidR="0025003A" w:rsidRDefault="0025003A" w:rsidP="00385F9B">
      <w:pPr>
        <w:jc w:val="both"/>
        <w:rPr>
          <w:rFonts w:ascii="Arial" w:hAnsi="Arial" w:cs="Arial"/>
          <w:b/>
          <w:bCs/>
          <w:sz w:val="20"/>
          <w:szCs w:val="20"/>
        </w:rPr>
        <w:sectPr w:rsidR="0025003A" w:rsidSect="00D45A44">
          <w:pgSz w:w="11906" w:h="16838"/>
          <w:pgMar w:top="1440" w:right="1440" w:bottom="1440" w:left="1440" w:header="706" w:footer="706" w:gutter="0"/>
          <w:cols w:space="708"/>
          <w:docGrid w:linePitch="360"/>
        </w:sectPr>
      </w:pPr>
    </w:p>
    <w:p w14:paraId="7B88AA1C" w14:textId="7F78D4F4" w:rsidR="008C06BB" w:rsidRPr="006A6A16" w:rsidRDefault="00C53DA6" w:rsidP="008C06BB">
      <w:pPr>
        <w:pStyle w:val="Heading1"/>
        <w:rPr>
          <w:rFonts w:ascii="Arial" w:hAnsi="Arial" w:cs="Arial"/>
          <w:b/>
          <w:bCs/>
          <w:sz w:val="20"/>
          <w:szCs w:val="20"/>
        </w:rPr>
      </w:pPr>
      <w:bookmarkStart w:id="220" w:name="_Toc61962847"/>
      <w:r>
        <w:rPr>
          <w:rFonts w:ascii="Arial" w:hAnsi="Arial" w:cs="Arial"/>
          <w:b/>
          <w:bCs/>
          <w:sz w:val="20"/>
          <w:szCs w:val="20"/>
        </w:rPr>
        <w:lastRenderedPageBreak/>
        <w:t>4</w:t>
      </w:r>
      <w:r w:rsidR="008C06BB">
        <w:rPr>
          <w:rFonts w:ascii="Arial" w:hAnsi="Arial" w:cs="Arial"/>
          <w:b/>
          <w:bCs/>
          <w:sz w:val="20"/>
          <w:szCs w:val="20"/>
        </w:rPr>
        <w:t>.</w:t>
      </w:r>
      <w:r w:rsidR="006B5512">
        <w:rPr>
          <w:rFonts w:ascii="Arial" w:hAnsi="Arial" w:cs="Arial"/>
          <w:b/>
          <w:bCs/>
          <w:sz w:val="20"/>
          <w:szCs w:val="20"/>
        </w:rPr>
        <w:t xml:space="preserve"> </w:t>
      </w:r>
      <w:r w:rsidR="008C06BB" w:rsidRPr="006A6A16">
        <w:rPr>
          <w:rFonts w:ascii="Arial" w:hAnsi="Arial" w:cs="Arial"/>
          <w:b/>
          <w:bCs/>
          <w:sz w:val="20"/>
          <w:szCs w:val="20"/>
        </w:rPr>
        <w:t>PUBLIC WORKS AND BASIC SERVICES DEPARTMENT</w:t>
      </w:r>
      <w:bookmarkEnd w:id="220"/>
    </w:p>
    <w:p w14:paraId="44F2FB91" w14:textId="02906255" w:rsidR="008C06BB" w:rsidRPr="00CB4FD8" w:rsidRDefault="008C06BB" w:rsidP="008C06BB">
      <w:pPr>
        <w:spacing w:beforeAutospacing="1" w:after="100" w:afterAutospacing="1" w:line="240" w:lineRule="auto"/>
        <w:rPr>
          <w:rFonts w:ascii="Arial" w:hAnsi="Arial" w:cs="Arial"/>
          <w:color w:val="000000"/>
          <w:sz w:val="20"/>
          <w:szCs w:val="20"/>
        </w:rPr>
      </w:pPr>
      <w:r>
        <w:rPr>
          <w:rFonts w:ascii="Arial" w:hAnsi="Arial" w:cs="Arial"/>
          <w:color w:val="000000"/>
          <w:sz w:val="20"/>
          <w:szCs w:val="20"/>
        </w:rPr>
        <w:t>The department is responsible for</w:t>
      </w:r>
      <w:r w:rsidRPr="00CB4FD8">
        <w:rPr>
          <w:rFonts w:ascii="Arial" w:hAnsi="Arial" w:cs="Arial"/>
          <w:color w:val="000000"/>
          <w:sz w:val="20"/>
          <w:szCs w:val="20"/>
        </w:rPr>
        <w:t xml:space="preserve"> the</w:t>
      </w:r>
      <w:r>
        <w:rPr>
          <w:rFonts w:ascii="Arial" w:hAnsi="Arial" w:cs="Arial"/>
          <w:color w:val="000000"/>
          <w:sz w:val="20"/>
          <w:szCs w:val="20"/>
        </w:rPr>
        <w:t xml:space="preserve"> following</w:t>
      </w:r>
      <w:r w:rsidRPr="00CB4FD8">
        <w:rPr>
          <w:rFonts w:ascii="Arial" w:hAnsi="Arial" w:cs="Arial"/>
          <w:color w:val="000000"/>
          <w:sz w:val="20"/>
          <w:szCs w:val="20"/>
        </w:rPr>
        <w:t xml:space="preserve"> most important</w:t>
      </w:r>
      <w:r>
        <w:rPr>
          <w:rFonts w:ascii="Arial" w:hAnsi="Arial" w:cs="Arial"/>
          <w:color w:val="000000"/>
          <w:sz w:val="20"/>
          <w:szCs w:val="20"/>
        </w:rPr>
        <w:t xml:space="preserve"> function</w:t>
      </w:r>
      <w:r w:rsidRPr="00CB4FD8">
        <w:rPr>
          <w:rFonts w:ascii="Arial" w:hAnsi="Arial" w:cs="Arial"/>
          <w:color w:val="000000"/>
          <w:sz w:val="20"/>
          <w:szCs w:val="20"/>
        </w:rPr>
        <w:t xml:space="preserve"> of which are:</w:t>
      </w:r>
    </w:p>
    <w:p w14:paraId="38A9CC35" w14:textId="77777777"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sidRPr="00CB4FD8">
        <w:rPr>
          <w:rFonts w:ascii="Arial" w:hAnsi="Arial" w:cs="Arial"/>
          <w:color w:val="000000"/>
          <w:sz w:val="20"/>
          <w:szCs w:val="20"/>
        </w:rPr>
        <w:t>Refuse removal</w:t>
      </w:r>
    </w:p>
    <w:p w14:paraId="650BE19F" w14:textId="60EDD1E6"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Pr>
          <w:rFonts w:ascii="Arial" w:hAnsi="Arial" w:cs="Arial"/>
          <w:color w:val="000000"/>
          <w:sz w:val="20"/>
          <w:szCs w:val="20"/>
        </w:rPr>
        <w:t>Electrification</w:t>
      </w:r>
    </w:p>
    <w:p w14:paraId="13DB7ED6" w14:textId="584A5A5D"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sidRPr="00CB4FD8">
        <w:rPr>
          <w:rFonts w:ascii="Arial" w:hAnsi="Arial" w:cs="Arial"/>
          <w:color w:val="000000"/>
          <w:sz w:val="20"/>
          <w:szCs w:val="20"/>
        </w:rPr>
        <w:t xml:space="preserve">Municipal </w:t>
      </w:r>
      <w:r>
        <w:rPr>
          <w:rFonts w:ascii="Arial" w:hAnsi="Arial" w:cs="Arial"/>
          <w:color w:val="000000"/>
          <w:sz w:val="20"/>
          <w:szCs w:val="20"/>
        </w:rPr>
        <w:t>environmental management</w:t>
      </w:r>
      <w:r w:rsidRPr="00CB4FD8">
        <w:rPr>
          <w:rFonts w:ascii="Arial" w:hAnsi="Arial" w:cs="Arial"/>
          <w:color w:val="000000"/>
          <w:sz w:val="20"/>
          <w:szCs w:val="20"/>
        </w:rPr>
        <w:t xml:space="preserve"> services</w:t>
      </w:r>
    </w:p>
    <w:p w14:paraId="669D84B2" w14:textId="77777777"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sidRPr="00CB4FD8">
        <w:rPr>
          <w:rFonts w:ascii="Arial" w:hAnsi="Arial" w:cs="Arial"/>
          <w:color w:val="000000"/>
          <w:sz w:val="20"/>
          <w:szCs w:val="20"/>
        </w:rPr>
        <w:t>Municipal roads and storm water drainage</w:t>
      </w:r>
    </w:p>
    <w:p w14:paraId="43F8A044" w14:textId="77777777"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sidRPr="00CB4FD8">
        <w:rPr>
          <w:rFonts w:ascii="Arial" w:hAnsi="Arial" w:cs="Arial"/>
          <w:color w:val="000000"/>
          <w:sz w:val="20"/>
          <w:szCs w:val="20"/>
        </w:rPr>
        <w:t>Street lighting</w:t>
      </w:r>
    </w:p>
    <w:p w14:paraId="3429375B" w14:textId="73E8B9A5" w:rsidR="008C06BB" w:rsidRPr="00CB4FD8" w:rsidRDefault="008C06BB" w:rsidP="008C06BB">
      <w:pPr>
        <w:numPr>
          <w:ilvl w:val="1"/>
          <w:numId w:val="11"/>
        </w:numPr>
        <w:spacing w:before="100" w:beforeAutospacing="1" w:after="100" w:afterAutospacing="1" w:line="240" w:lineRule="auto"/>
        <w:rPr>
          <w:rFonts w:ascii="Arial" w:hAnsi="Arial" w:cs="Arial"/>
          <w:color w:val="000000"/>
          <w:sz w:val="20"/>
          <w:szCs w:val="20"/>
        </w:rPr>
      </w:pPr>
      <w:r w:rsidRPr="00CB4FD8">
        <w:rPr>
          <w:rFonts w:ascii="Arial" w:hAnsi="Arial" w:cs="Arial"/>
          <w:color w:val="000000"/>
          <w:sz w:val="20"/>
          <w:szCs w:val="20"/>
        </w:rPr>
        <w:t xml:space="preserve">Municipal </w:t>
      </w:r>
      <w:r>
        <w:rPr>
          <w:rFonts w:ascii="Arial" w:hAnsi="Arial" w:cs="Arial"/>
          <w:color w:val="000000"/>
          <w:sz w:val="20"/>
          <w:szCs w:val="20"/>
        </w:rPr>
        <w:t xml:space="preserve">cemeteries, </w:t>
      </w:r>
      <w:r w:rsidRPr="00CB4FD8">
        <w:rPr>
          <w:rFonts w:ascii="Arial" w:hAnsi="Arial" w:cs="Arial"/>
          <w:color w:val="000000"/>
          <w:sz w:val="20"/>
          <w:szCs w:val="20"/>
        </w:rPr>
        <w:t>parks and recreation</w:t>
      </w:r>
    </w:p>
    <w:p w14:paraId="3666EF28" w14:textId="1086FD9A" w:rsidR="00D60972" w:rsidRPr="006B5512" w:rsidRDefault="008C06BB" w:rsidP="006B5512">
      <w:pPr>
        <w:jc w:val="both"/>
        <w:rPr>
          <w:rFonts w:ascii="Arial" w:hAnsi="Arial" w:cs="Arial"/>
          <w:sz w:val="20"/>
          <w:szCs w:val="20"/>
        </w:rPr>
      </w:pPr>
      <w:r w:rsidRPr="004D6188">
        <w:rPr>
          <w:rFonts w:ascii="Arial" w:hAnsi="Arial" w:cs="Arial"/>
          <w:sz w:val="20"/>
          <w:szCs w:val="20"/>
        </w:rPr>
        <w:t xml:space="preserve">The department had </w:t>
      </w:r>
      <w:r w:rsidR="006B5512">
        <w:rPr>
          <w:rFonts w:ascii="Arial" w:hAnsi="Arial" w:cs="Arial"/>
          <w:sz w:val="20"/>
          <w:szCs w:val="20"/>
        </w:rPr>
        <w:t>planned 26</w:t>
      </w:r>
      <w:r w:rsidRPr="004D6188">
        <w:rPr>
          <w:rFonts w:ascii="Arial" w:hAnsi="Arial" w:cs="Arial"/>
          <w:sz w:val="20"/>
          <w:szCs w:val="20"/>
        </w:rPr>
        <w:t xml:space="preserve"> targets fo</w:t>
      </w:r>
      <w:r w:rsidR="006B5512">
        <w:rPr>
          <w:rFonts w:ascii="Arial" w:hAnsi="Arial" w:cs="Arial"/>
          <w:sz w:val="20"/>
          <w:szCs w:val="20"/>
        </w:rPr>
        <w:t xml:space="preserve">r the financial year of which 15 were not </w:t>
      </w:r>
      <w:r w:rsidRPr="004D6188">
        <w:rPr>
          <w:rFonts w:ascii="Arial" w:hAnsi="Arial" w:cs="Arial"/>
          <w:sz w:val="20"/>
          <w:szCs w:val="20"/>
        </w:rPr>
        <w:t>applic</w:t>
      </w:r>
      <w:r w:rsidR="006B5512">
        <w:rPr>
          <w:rFonts w:ascii="Arial" w:hAnsi="Arial" w:cs="Arial"/>
          <w:sz w:val="20"/>
          <w:szCs w:val="20"/>
        </w:rPr>
        <w:t>able for the quarter. Out of eleven</w:t>
      </w:r>
      <w:r w:rsidRPr="004D6188">
        <w:rPr>
          <w:rFonts w:ascii="Arial" w:hAnsi="Arial" w:cs="Arial"/>
          <w:sz w:val="20"/>
          <w:szCs w:val="20"/>
        </w:rPr>
        <w:t xml:space="preserve"> planned targets for the quarter eight</w:t>
      </w:r>
      <w:r w:rsidR="006B5512">
        <w:rPr>
          <w:rFonts w:ascii="Arial" w:hAnsi="Arial" w:cs="Arial"/>
          <w:sz w:val="20"/>
          <w:szCs w:val="20"/>
        </w:rPr>
        <w:t xml:space="preserve"> (08) were achieved and only three</w:t>
      </w:r>
      <w:r w:rsidRPr="004D6188">
        <w:rPr>
          <w:rFonts w:ascii="Arial" w:hAnsi="Arial" w:cs="Arial"/>
          <w:sz w:val="20"/>
          <w:szCs w:val="20"/>
        </w:rPr>
        <w:t xml:space="preserve"> were not achieved. </w:t>
      </w:r>
      <w:r w:rsidR="006B5512">
        <w:rPr>
          <w:rFonts w:ascii="Arial" w:hAnsi="Arial" w:cs="Arial"/>
          <w:sz w:val="20"/>
          <w:szCs w:val="20"/>
        </w:rPr>
        <w:t>Two targets PWBS 1 and PWBS 23 exceeded the planned targets for the quarter which makes the department’s overachievement to be 18</w:t>
      </w:r>
      <w:proofErr w:type="gramStart"/>
      <w:r w:rsidR="006B5512">
        <w:rPr>
          <w:rFonts w:ascii="Arial" w:hAnsi="Arial" w:cs="Arial"/>
          <w:sz w:val="20"/>
          <w:szCs w:val="20"/>
        </w:rPr>
        <w:t>,1</w:t>
      </w:r>
      <w:proofErr w:type="gramEnd"/>
      <w:r w:rsidR="006B5512">
        <w:rPr>
          <w:rFonts w:ascii="Arial" w:hAnsi="Arial" w:cs="Arial"/>
          <w:sz w:val="20"/>
          <w:szCs w:val="20"/>
        </w:rPr>
        <w:t xml:space="preserve">%. 15 targets were not applicable during the quarter because the department was busy with planning and procurement processes for these projects. </w:t>
      </w:r>
    </w:p>
    <w:tbl>
      <w:tblPr>
        <w:tblpPr w:leftFromText="180" w:rightFromText="180" w:bottomFromText="160" w:vertAnchor="text" w:horzAnchor="page" w:tblpX="1840" w:tblpY="215"/>
        <w:tblW w:w="9016" w:type="dxa"/>
        <w:tblLook w:val="04A0" w:firstRow="1" w:lastRow="0" w:firstColumn="1" w:lastColumn="0" w:noHBand="0" w:noVBand="1"/>
      </w:tblPr>
      <w:tblGrid>
        <w:gridCol w:w="1717"/>
        <w:gridCol w:w="1763"/>
        <w:gridCol w:w="1982"/>
        <w:gridCol w:w="1969"/>
        <w:gridCol w:w="1585"/>
      </w:tblGrid>
      <w:tr w:rsidR="00D60972" w14:paraId="6572F163" w14:textId="42489F5B" w:rsidTr="00D60972">
        <w:trPr>
          <w:trHeight w:val="558"/>
        </w:trPr>
        <w:tc>
          <w:tcPr>
            <w:tcW w:w="1717" w:type="dxa"/>
            <w:tcBorders>
              <w:top w:val="single" w:sz="4" w:space="0" w:color="auto"/>
              <w:left w:val="single" w:sz="4" w:space="0" w:color="auto"/>
              <w:bottom w:val="single" w:sz="4" w:space="0" w:color="auto"/>
              <w:right w:val="single" w:sz="4" w:space="0" w:color="auto"/>
            </w:tcBorders>
            <w:shd w:val="clear" w:color="auto" w:fill="C00000"/>
            <w:hideMark/>
          </w:tcPr>
          <w:p w14:paraId="25F19A24" w14:textId="77777777" w:rsidR="00D60972" w:rsidRDefault="00D60972" w:rsidP="006B5512">
            <w:pPr>
              <w:rPr>
                <w:rFonts w:ascii="Arial" w:hAnsi="Arial" w:cs="Arial"/>
                <w:b/>
                <w:color w:val="FFFFFF"/>
                <w:sz w:val="20"/>
                <w:szCs w:val="20"/>
              </w:rPr>
            </w:pPr>
            <w:r>
              <w:rPr>
                <w:rFonts w:ascii="Arial" w:hAnsi="Arial" w:cs="Arial"/>
                <w:b/>
                <w:color w:val="FFFFFF"/>
                <w:sz w:val="20"/>
                <w:szCs w:val="20"/>
              </w:rPr>
              <w:t>Total no. of targets</w:t>
            </w:r>
          </w:p>
        </w:tc>
        <w:tc>
          <w:tcPr>
            <w:tcW w:w="1763" w:type="dxa"/>
            <w:tcBorders>
              <w:top w:val="single" w:sz="4" w:space="0" w:color="auto"/>
              <w:left w:val="nil"/>
              <w:bottom w:val="single" w:sz="4" w:space="0" w:color="auto"/>
              <w:right w:val="single" w:sz="4" w:space="0" w:color="auto"/>
            </w:tcBorders>
            <w:shd w:val="clear" w:color="auto" w:fill="C00000"/>
            <w:hideMark/>
          </w:tcPr>
          <w:p w14:paraId="40B30AEE" w14:textId="77777777" w:rsidR="00D60972" w:rsidRDefault="00D60972" w:rsidP="006B5512">
            <w:pPr>
              <w:rPr>
                <w:rFonts w:ascii="Arial" w:hAnsi="Arial" w:cs="Arial"/>
                <w:b/>
                <w:color w:val="FFFFFF"/>
                <w:sz w:val="20"/>
                <w:szCs w:val="20"/>
              </w:rPr>
            </w:pPr>
            <w:r>
              <w:rPr>
                <w:rFonts w:ascii="Arial" w:hAnsi="Arial" w:cs="Arial"/>
                <w:b/>
                <w:color w:val="FFFFFF"/>
                <w:sz w:val="20"/>
                <w:szCs w:val="20"/>
              </w:rPr>
              <w:t>Targets Achieved</w:t>
            </w:r>
          </w:p>
        </w:tc>
        <w:tc>
          <w:tcPr>
            <w:tcW w:w="1982" w:type="dxa"/>
            <w:tcBorders>
              <w:top w:val="single" w:sz="4" w:space="0" w:color="auto"/>
              <w:left w:val="nil"/>
              <w:bottom w:val="single" w:sz="4" w:space="0" w:color="auto"/>
              <w:right w:val="single" w:sz="4" w:space="0" w:color="auto"/>
            </w:tcBorders>
            <w:shd w:val="clear" w:color="auto" w:fill="C00000"/>
            <w:hideMark/>
          </w:tcPr>
          <w:p w14:paraId="2FB71A9D" w14:textId="77777777" w:rsidR="00D60972" w:rsidRDefault="00D60972" w:rsidP="006B5512">
            <w:pPr>
              <w:rPr>
                <w:rFonts w:ascii="Arial" w:hAnsi="Arial" w:cs="Arial"/>
                <w:b/>
                <w:color w:val="FFFFFF"/>
                <w:sz w:val="20"/>
                <w:szCs w:val="20"/>
              </w:rPr>
            </w:pPr>
            <w:r>
              <w:rPr>
                <w:rFonts w:ascii="Arial" w:hAnsi="Arial" w:cs="Arial"/>
                <w:b/>
                <w:color w:val="FFFFFF"/>
                <w:sz w:val="20"/>
                <w:szCs w:val="20"/>
              </w:rPr>
              <w:t>Targets Not Achieved</w:t>
            </w:r>
          </w:p>
        </w:tc>
        <w:tc>
          <w:tcPr>
            <w:tcW w:w="1969" w:type="dxa"/>
            <w:tcBorders>
              <w:top w:val="single" w:sz="4" w:space="0" w:color="auto"/>
              <w:left w:val="nil"/>
              <w:bottom w:val="single" w:sz="4" w:space="0" w:color="auto"/>
              <w:right w:val="single" w:sz="4" w:space="0" w:color="auto"/>
            </w:tcBorders>
            <w:shd w:val="clear" w:color="auto" w:fill="C00000"/>
          </w:tcPr>
          <w:p w14:paraId="1E84BDD2" w14:textId="77777777" w:rsidR="00D60972" w:rsidRDefault="00D60972" w:rsidP="006B5512">
            <w:pPr>
              <w:rPr>
                <w:rFonts w:ascii="Arial" w:hAnsi="Arial" w:cs="Arial"/>
                <w:b/>
                <w:color w:val="FFFFFF"/>
                <w:sz w:val="20"/>
                <w:szCs w:val="20"/>
              </w:rPr>
            </w:pPr>
            <w:r>
              <w:rPr>
                <w:rFonts w:ascii="Arial" w:hAnsi="Arial" w:cs="Arial"/>
                <w:b/>
                <w:color w:val="FFFFFF"/>
                <w:sz w:val="20"/>
                <w:szCs w:val="20"/>
              </w:rPr>
              <w:t>Not Applicable in Q2</w:t>
            </w:r>
          </w:p>
        </w:tc>
        <w:tc>
          <w:tcPr>
            <w:tcW w:w="1585" w:type="dxa"/>
            <w:tcBorders>
              <w:top w:val="single" w:sz="4" w:space="0" w:color="auto"/>
              <w:left w:val="nil"/>
              <w:bottom w:val="single" w:sz="4" w:space="0" w:color="auto"/>
              <w:right w:val="single" w:sz="4" w:space="0" w:color="auto"/>
            </w:tcBorders>
            <w:shd w:val="clear" w:color="auto" w:fill="C00000"/>
          </w:tcPr>
          <w:p w14:paraId="77164930" w14:textId="1F8A877B" w:rsidR="00D60972" w:rsidRDefault="00D60972" w:rsidP="006B5512">
            <w:pPr>
              <w:rPr>
                <w:rFonts w:ascii="Arial" w:hAnsi="Arial" w:cs="Arial"/>
                <w:b/>
                <w:color w:val="FFFFFF"/>
                <w:sz w:val="20"/>
                <w:szCs w:val="20"/>
              </w:rPr>
            </w:pPr>
            <w:r>
              <w:rPr>
                <w:rFonts w:ascii="Arial" w:hAnsi="Arial" w:cs="Arial"/>
                <w:b/>
                <w:color w:val="FFFFFF"/>
                <w:sz w:val="20"/>
                <w:szCs w:val="20"/>
              </w:rPr>
              <w:t>Q1 &amp; Q2 Consolidated Performance at Mid-year 31 December 2020</w:t>
            </w:r>
          </w:p>
        </w:tc>
      </w:tr>
      <w:tr w:rsidR="00D60972" w14:paraId="06BAB4B9" w14:textId="2D029C31" w:rsidTr="00D60972">
        <w:trPr>
          <w:trHeight w:val="300"/>
        </w:trPr>
        <w:tc>
          <w:tcPr>
            <w:tcW w:w="1717" w:type="dxa"/>
            <w:tcBorders>
              <w:top w:val="single" w:sz="4" w:space="0" w:color="auto"/>
              <w:left w:val="single" w:sz="4" w:space="0" w:color="auto"/>
              <w:bottom w:val="single" w:sz="4" w:space="0" w:color="auto"/>
              <w:right w:val="single" w:sz="4" w:space="0" w:color="auto"/>
            </w:tcBorders>
            <w:hideMark/>
          </w:tcPr>
          <w:p w14:paraId="05A3437A"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26</w:t>
            </w:r>
          </w:p>
        </w:tc>
        <w:tc>
          <w:tcPr>
            <w:tcW w:w="1763" w:type="dxa"/>
            <w:tcBorders>
              <w:top w:val="single" w:sz="4" w:space="0" w:color="auto"/>
              <w:left w:val="nil"/>
              <w:bottom w:val="single" w:sz="4" w:space="0" w:color="auto"/>
              <w:right w:val="single" w:sz="4" w:space="0" w:color="auto"/>
            </w:tcBorders>
          </w:tcPr>
          <w:p w14:paraId="636050FF"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08</w:t>
            </w:r>
          </w:p>
        </w:tc>
        <w:tc>
          <w:tcPr>
            <w:tcW w:w="1982" w:type="dxa"/>
            <w:tcBorders>
              <w:top w:val="single" w:sz="4" w:space="0" w:color="auto"/>
              <w:left w:val="nil"/>
              <w:bottom w:val="single" w:sz="4" w:space="0" w:color="auto"/>
              <w:right w:val="single" w:sz="4" w:space="0" w:color="auto"/>
            </w:tcBorders>
          </w:tcPr>
          <w:p w14:paraId="011030E4"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03</w:t>
            </w:r>
          </w:p>
        </w:tc>
        <w:tc>
          <w:tcPr>
            <w:tcW w:w="1969" w:type="dxa"/>
            <w:tcBorders>
              <w:top w:val="single" w:sz="4" w:space="0" w:color="auto"/>
              <w:left w:val="nil"/>
              <w:bottom w:val="single" w:sz="4" w:space="0" w:color="auto"/>
              <w:right w:val="single" w:sz="4" w:space="0" w:color="auto"/>
            </w:tcBorders>
          </w:tcPr>
          <w:p w14:paraId="65303DAB"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15</w:t>
            </w:r>
          </w:p>
        </w:tc>
        <w:tc>
          <w:tcPr>
            <w:tcW w:w="1585" w:type="dxa"/>
            <w:tcBorders>
              <w:top w:val="single" w:sz="4" w:space="0" w:color="auto"/>
              <w:left w:val="nil"/>
              <w:bottom w:val="single" w:sz="4" w:space="0" w:color="auto"/>
              <w:right w:val="single" w:sz="4" w:space="0" w:color="auto"/>
            </w:tcBorders>
          </w:tcPr>
          <w:p w14:paraId="582ED10D" w14:textId="50398265" w:rsidR="00D60972" w:rsidRDefault="00D60972" w:rsidP="006B5512">
            <w:pPr>
              <w:jc w:val="right"/>
              <w:rPr>
                <w:rFonts w:ascii="Arial" w:hAnsi="Arial" w:cs="Arial"/>
                <w:b/>
                <w:color w:val="000000"/>
                <w:sz w:val="20"/>
                <w:szCs w:val="20"/>
              </w:rPr>
            </w:pPr>
            <w:r>
              <w:rPr>
                <w:rFonts w:ascii="Arial" w:hAnsi="Arial" w:cs="Arial"/>
                <w:b/>
                <w:color w:val="000000"/>
                <w:sz w:val="20"/>
                <w:szCs w:val="20"/>
              </w:rPr>
              <w:t>08</w:t>
            </w:r>
          </w:p>
        </w:tc>
      </w:tr>
      <w:tr w:rsidR="00D60972" w14:paraId="5DD22307" w14:textId="1716C3FB" w:rsidTr="00D60972">
        <w:trPr>
          <w:trHeight w:val="344"/>
        </w:trPr>
        <w:tc>
          <w:tcPr>
            <w:tcW w:w="1717" w:type="dxa"/>
            <w:tcBorders>
              <w:top w:val="single" w:sz="4" w:space="0" w:color="auto"/>
              <w:left w:val="single" w:sz="4" w:space="0" w:color="auto"/>
              <w:bottom w:val="single" w:sz="4" w:space="0" w:color="auto"/>
              <w:right w:val="single" w:sz="4" w:space="0" w:color="auto"/>
            </w:tcBorders>
            <w:hideMark/>
          </w:tcPr>
          <w:p w14:paraId="43B3D5DA" w14:textId="77777777" w:rsidR="00D60972" w:rsidRDefault="00D60972" w:rsidP="006B5512">
            <w:pPr>
              <w:rPr>
                <w:rFonts w:ascii="Arial" w:hAnsi="Arial" w:cs="Arial"/>
                <w:b/>
                <w:color w:val="000000"/>
                <w:sz w:val="20"/>
                <w:szCs w:val="20"/>
              </w:rPr>
            </w:pPr>
            <w:r>
              <w:rPr>
                <w:rFonts w:ascii="Arial" w:hAnsi="Arial" w:cs="Arial"/>
                <w:b/>
                <w:color w:val="000000"/>
                <w:sz w:val="20"/>
                <w:szCs w:val="20"/>
              </w:rPr>
              <w:t>Percentage achievement</w:t>
            </w:r>
          </w:p>
        </w:tc>
        <w:tc>
          <w:tcPr>
            <w:tcW w:w="1763" w:type="dxa"/>
            <w:tcBorders>
              <w:top w:val="single" w:sz="4" w:space="0" w:color="auto"/>
              <w:left w:val="nil"/>
              <w:bottom w:val="single" w:sz="4" w:space="0" w:color="auto"/>
              <w:right w:val="single" w:sz="4" w:space="0" w:color="auto"/>
            </w:tcBorders>
          </w:tcPr>
          <w:p w14:paraId="651FF252"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72.7%</w:t>
            </w:r>
          </w:p>
        </w:tc>
        <w:tc>
          <w:tcPr>
            <w:tcW w:w="1982" w:type="dxa"/>
            <w:tcBorders>
              <w:top w:val="single" w:sz="4" w:space="0" w:color="auto"/>
              <w:left w:val="nil"/>
              <w:bottom w:val="single" w:sz="4" w:space="0" w:color="auto"/>
              <w:right w:val="single" w:sz="4" w:space="0" w:color="auto"/>
            </w:tcBorders>
          </w:tcPr>
          <w:p w14:paraId="15A023BC"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27.2%</w:t>
            </w:r>
          </w:p>
        </w:tc>
        <w:tc>
          <w:tcPr>
            <w:tcW w:w="1969" w:type="dxa"/>
            <w:tcBorders>
              <w:top w:val="single" w:sz="4" w:space="0" w:color="auto"/>
              <w:left w:val="nil"/>
              <w:bottom w:val="single" w:sz="4" w:space="0" w:color="auto"/>
              <w:right w:val="single" w:sz="4" w:space="0" w:color="auto"/>
            </w:tcBorders>
          </w:tcPr>
          <w:p w14:paraId="3B87A502" w14:textId="77777777" w:rsidR="00D60972" w:rsidRDefault="00D60972" w:rsidP="006B5512">
            <w:pPr>
              <w:jc w:val="right"/>
              <w:rPr>
                <w:rFonts w:ascii="Arial" w:hAnsi="Arial" w:cs="Arial"/>
                <w:b/>
                <w:color w:val="000000"/>
                <w:sz w:val="20"/>
                <w:szCs w:val="20"/>
              </w:rPr>
            </w:pPr>
            <w:r>
              <w:rPr>
                <w:rFonts w:ascii="Arial" w:hAnsi="Arial" w:cs="Arial"/>
                <w:b/>
                <w:color w:val="000000"/>
                <w:sz w:val="20"/>
                <w:szCs w:val="20"/>
              </w:rPr>
              <w:t>57.6%</w:t>
            </w:r>
          </w:p>
        </w:tc>
        <w:tc>
          <w:tcPr>
            <w:tcW w:w="1585" w:type="dxa"/>
            <w:tcBorders>
              <w:top w:val="single" w:sz="4" w:space="0" w:color="auto"/>
              <w:left w:val="nil"/>
              <w:bottom w:val="single" w:sz="4" w:space="0" w:color="auto"/>
              <w:right w:val="single" w:sz="4" w:space="0" w:color="auto"/>
            </w:tcBorders>
          </w:tcPr>
          <w:p w14:paraId="5F692902" w14:textId="28BCE66E" w:rsidR="00D60972" w:rsidRDefault="00D60972" w:rsidP="006B5512">
            <w:pPr>
              <w:jc w:val="right"/>
              <w:rPr>
                <w:rFonts w:ascii="Arial" w:hAnsi="Arial" w:cs="Arial"/>
                <w:b/>
                <w:color w:val="000000"/>
                <w:sz w:val="20"/>
                <w:szCs w:val="20"/>
              </w:rPr>
            </w:pPr>
            <w:r>
              <w:rPr>
                <w:rFonts w:ascii="Arial" w:hAnsi="Arial" w:cs="Arial"/>
                <w:b/>
                <w:color w:val="000000"/>
                <w:sz w:val="20"/>
                <w:szCs w:val="20"/>
              </w:rPr>
              <w:t>72.7%</w:t>
            </w:r>
          </w:p>
        </w:tc>
      </w:tr>
    </w:tbl>
    <w:p w14:paraId="06C179A9" w14:textId="0AFD95AC" w:rsidR="00D60972" w:rsidRDefault="00D60972" w:rsidP="008C06BB">
      <w:pPr>
        <w:jc w:val="both"/>
        <w:rPr>
          <w:rFonts w:ascii="Arial" w:hAnsi="Arial" w:cs="Arial"/>
          <w:sz w:val="20"/>
          <w:szCs w:val="20"/>
        </w:rPr>
      </w:pPr>
    </w:p>
    <w:p w14:paraId="3D63B064" w14:textId="7F9884CE" w:rsidR="00D45A44" w:rsidRDefault="00D45A44" w:rsidP="008C06BB">
      <w:pPr>
        <w:jc w:val="both"/>
        <w:rPr>
          <w:rFonts w:ascii="Arial" w:hAnsi="Arial" w:cs="Arial"/>
          <w:sz w:val="20"/>
          <w:szCs w:val="20"/>
        </w:rPr>
      </w:pPr>
    </w:p>
    <w:p w14:paraId="192BBC56" w14:textId="3AF3BAB0" w:rsidR="00D45A44" w:rsidRDefault="0010653E" w:rsidP="008C06BB">
      <w:pPr>
        <w:jc w:val="both"/>
        <w:rPr>
          <w:rFonts w:ascii="Arial" w:hAnsi="Arial" w:cs="Arial"/>
          <w:sz w:val="20"/>
          <w:szCs w:val="20"/>
        </w:rPr>
      </w:pPr>
      <w:r w:rsidRPr="0010653E">
        <w:rPr>
          <w:rFonts w:ascii="Arial" w:hAnsi="Arial" w:cs="Arial"/>
          <w:noProof/>
          <w:lang w:val="en-US" w:eastAsia="en-US"/>
        </w:rPr>
        <w:drawing>
          <wp:inline distT="0" distB="0" distL="0" distR="0" wp14:anchorId="334DBDC4" wp14:editId="55BABE93">
            <wp:extent cx="5076825" cy="29527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7ED026" w14:textId="68D92245" w:rsidR="00D45A44" w:rsidRDefault="00D45A44" w:rsidP="008C06BB">
      <w:pPr>
        <w:jc w:val="both"/>
        <w:rPr>
          <w:rFonts w:ascii="Arial" w:hAnsi="Arial" w:cs="Arial"/>
          <w:sz w:val="20"/>
          <w:szCs w:val="20"/>
        </w:rPr>
      </w:pPr>
    </w:p>
    <w:p w14:paraId="6D04AF78" w14:textId="2A7FD4D3" w:rsidR="00D45A44" w:rsidRDefault="00D45A44" w:rsidP="008C06BB">
      <w:pPr>
        <w:jc w:val="both"/>
        <w:rPr>
          <w:rFonts w:ascii="Arial" w:hAnsi="Arial" w:cs="Arial"/>
          <w:sz w:val="20"/>
          <w:szCs w:val="20"/>
        </w:rPr>
      </w:pPr>
    </w:p>
    <w:p w14:paraId="05146DF6" w14:textId="74DB52CC" w:rsidR="00D45A44" w:rsidRDefault="00D45A44" w:rsidP="008C06BB">
      <w:pPr>
        <w:jc w:val="both"/>
        <w:rPr>
          <w:rFonts w:ascii="Arial" w:hAnsi="Arial" w:cs="Arial"/>
          <w:sz w:val="20"/>
          <w:szCs w:val="20"/>
        </w:rPr>
      </w:pPr>
    </w:p>
    <w:p w14:paraId="55BDDCA2" w14:textId="77777777" w:rsidR="008C06BB" w:rsidRPr="00776589" w:rsidRDefault="008C06BB" w:rsidP="008C06BB">
      <w:pPr>
        <w:pStyle w:val="ListParagraph"/>
        <w:ind w:left="644"/>
        <w:rPr>
          <w:rFonts w:ascii="Arial" w:hAnsi="Arial" w:cs="Arial"/>
          <w:b/>
          <w:bCs/>
          <w:noProof/>
          <w:color w:val="000000" w:themeColor="text1"/>
          <w:sz w:val="20"/>
          <w:szCs w:val="20"/>
        </w:rPr>
      </w:pPr>
      <w:r w:rsidRPr="00776589">
        <w:rPr>
          <w:rFonts w:ascii="Arial" w:hAnsi="Arial" w:cs="Arial"/>
          <w:b/>
          <w:bCs/>
          <w:noProof/>
          <w:color w:val="000000" w:themeColor="text1"/>
          <w:sz w:val="20"/>
          <w:szCs w:val="20"/>
        </w:rPr>
        <w:lastRenderedPageBreak/>
        <w:t>The table below lists indicators that were not achieved during the quarter and remedial actions thereof:</w:t>
      </w:r>
    </w:p>
    <w:tbl>
      <w:tblPr>
        <w:tblStyle w:val="TableGrid1"/>
        <w:tblW w:w="10490" w:type="dxa"/>
        <w:tblInd w:w="-572" w:type="dxa"/>
        <w:tblLayout w:type="fixed"/>
        <w:tblLook w:val="04A0" w:firstRow="1" w:lastRow="0" w:firstColumn="1" w:lastColumn="0" w:noHBand="0" w:noVBand="1"/>
      </w:tblPr>
      <w:tblGrid>
        <w:gridCol w:w="993"/>
        <w:gridCol w:w="1984"/>
        <w:gridCol w:w="1276"/>
        <w:gridCol w:w="1984"/>
        <w:gridCol w:w="2694"/>
        <w:gridCol w:w="1559"/>
      </w:tblGrid>
      <w:tr w:rsidR="008C06BB" w:rsidRPr="00991DB8" w14:paraId="7882AF35" w14:textId="77777777" w:rsidTr="00D45A44">
        <w:tc>
          <w:tcPr>
            <w:tcW w:w="993" w:type="dxa"/>
            <w:shd w:val="clear" w:color="auto" w:fill="FFC000"/>
          </w:tcPr>
          <w:p w14:paraId="6FC61AED" w14:textId="77777777" w:rsidR="008C06BB" w:rsidRPr="00991DB8" w:rsidRDefault="008C06BB" w:rsidP="006B5512">
            <w:pPr>
              <w:spacing w:after="200" w:line="276" w:lineRule="auto"/>
              <w:rPr>
                <w:rFonts w:ascii="Arial" w:eastAsia="Calibri" w:hAnsi="Arial" w:cs="Arial"/>
                <w:b/>
                <w:sz w:val="20"/>
                <w:szCs w:val="20"/>
              </w:rPr>
            </w:pPr>
            <w:r>
              <w:rPr>
                <w:rFonts w:ascii="Arial" w:eastAsia="Calibri" w:hAnsi="Arial" w:cs="Arial"/>
                <w:b/>
                <w:sz w:val="20"/>
                <w:szCs w:val="20"/>
              </w:rPr>
              <w:t>SD</w:t>
            </w:r>
            <w:r w:rsidRPr="00991DB8">
              <w:rPr>
                <w:rFonts w:ascii="Arial" w:eastAsia="Calibri" w:hAnsi="Arial" w:cs="Arial"/>
                <w:b/>
                <w:sz w:val="20"/>
                <w:szCs w:val="20"/>
              </w:rPr>
              <w:t>BIP NO.</w:t>
            </w:r>
          </w:p>
          <w:p w14:paraId="1E03DB67" w14:textId="77777777" w:rsidR="008C06BB" w:rsidRPr="00991DB8" w:rsidRDefault="008C06BB" w:rsidP="006B5512">
            <w:pPr>
              <w:spacing w:after="200" w:line="276" w:lineRule="auto"/>
              <w:rPr>
                <w:rFonts w:ascii="Arial" w:eastAsia="Calibri" w:hAnsi="Arial" w:cs="Arial"/>
                <w:sz w:val="20"/>
                <w:szCs w:val="20"/>
              </w:rPr>
            </w:pPr>
          </w:p>
        </w:tc>
        <w:tc>
          <w:tcPr>
            <w:tcW w:w="1984" w:type="dxa"/>
            <w:shd w:val="clear" w:color="auto" w:fill="FFC000"/>
          </w:tcPr>
          <w:p w14:paraId="1504C813" w14:textId="77777777" w:rsidR="008C06BB" w:rsidRPr="00991DB8" w:rsidRDefault="008C06BB" w:rsidP="006B5512">
            <w:pPr>
              <w:spacing w:after="200" w:line="276" w:lineRule="auto"/>
              <w:rPr>
                <w:rFonts w:ascii="Arial" w:eastAsia="Calibri" w:hAnsi="Arial" w:cs="Arial"/>
                <w:b/>
                <w:sz w:val="20"/>
                <w:szCs w:val="20"/>
              </w:rPr>
            </w:pPr>
            <w:r>
              <w:rPr>
                <w:rFonts w:ascii="Arial" w:eastAsia="Calibri" w:hAnsi="Arial" w:cs="Arial"/>
                <w:b/>
                <w:sz w:val="20"/>
                <w:szCs w:val="20"/>
              </w:rPr>
              <w:t>KEY PERFORMANCE INDICATOR</w:t>
            </w:r>
          </w:p>
        </w:tc>
        <w:tc>
          <w:tcPr>
            <w:tcW w:w="1276" w:type="dxa"/>
            <w:shd w:val="clear" w:color="auto" w:fill="FFC000"/>
          </w:tcPr>
          <w:p w14:paraId="737C4994" w14:textId="77777777" w:rsidR="008C06BB" w:rsidRPr="00991DB8" w:rsidRDefault="008C06BB" w:rsidP="006B5512">
            <w:pPr>
              <w:spacing w:after="200" w:line="276" w:lineRule="auto"/>
              <w:rPr>
                <w:rFonts w:ascii="Arial" w:eastAsia="Calibri" w:hAnsi="Arial" w:cs="Arial"/>
                <w:b/>
                <w:sz w:val="20"/>
                <w:szCs w:val="20"/>
              </w:rPr>
            </w:pPr>
            <w:r w:rsidRPr="00991DB8">
              <w:rPr>
                <w:rFonts w:ascii="Arial" w:eastAsia="Calibri" w:hAnsi="Arial" w:cs="Arial"/>
                <w:b/>
                <w:sz w:val="20"/>
                <w:szCs w:val="20"/>
              </w:rPr>
              <w:t>TARGET</w:t>
            </w:r>
          </w:p>
        </w:tc>
        <w:tc>
          <w:tcPr>
            <w:tcW w:w="1984" w:type="dxa"/>
            <w:shd w:val="clear" w:color="auto" w:fill="FFC000"/>
          </w:tcPr>
          <w:p w14:paraId="021FBA51" w14:textId="77777777" w:rsidR="008C06BB" w:rsidRPr="00991DB8" w:rsidRDefault="008C06BB" w:rsidP="006B5512">
            <w:pPr>
              <w:spacing w:after="200" w:line="276" w:lineRule="auto"/>
              <w:rPr>
                <w:rFonts w:ascii="Arial" w:eastAsia="Calibri" w:hAnsi="Arial" w:cs="Arial"/>
                <w:b/>
                <w:sz w:val="20"/>
                <w:szCs w:val="20"/>
              </w:rPr>
            </w:pPr>
            <w:r w:rsidRPr="00991DB8">
              <w:rPr>
                <w:rFonts w:ascii="Arial" w:eastAsia="Calibri" w:hAnsi="Arial" w:cs="Arial"/>
                <w:b/>
                <w:sz w:val="20"/>
                <w:szCs w:val="20"/>
              </w:rPr>
              <w:t>PERFORMANCE CLAIMED</w:t>
            </w:r>
          </w:p>
        </w:tc>
        <w:tc>
          <w:tcPr>
            <w:tcW w:w="2694" w:type="dxa"/>
            <w:shd w:val="clear" w:color="auto" w:fill="FFC000"/>
          </w:tcPr>
          <w:p w14:paraId="163B592B" w14:textId="77777777" w:rsidR="008C06BB" w:rsidRPr="00991DB8" w:rsidRDefault="008C06BB" w:rsidP="006B5512">
            <w:pPr>
              <w:spacing w:after="200" w:line="276" w:lineRule="auto"/>
              <w:rPr>
                <w:rFonts w:ascii="Arial" w:eastAsia="Calibri" w:hAnsi="Arial" w:cs="Arial"/>
                <w:b/>
                <w:sz w:val="20"/>
                <w:szCs w:val="20"/>
              </w:rPr>
            </w:pPr>
            <w:r>
              <w:rPr>
                <w:rFonts w:ascii="Arial" w:eastAsia="Calibri" w:hAnsi="Arial" w:cs="Arial"/>
                <w:b/>
                <w:sz w:val="20"/>
                <w:szCs w:val="20"/>
              </w:rPr>
              <w:t>REASONS FOR NOT ACHIEVING CUMULATIVE TARGET</w:t>
            </w:r>
          </w:p>
        </w:tc>
        <w:tc>
          <w:tcPr>
            <w:tcW w:w="1559" w:type="dxa"/>
            <w:shd w:val="clear" w:color="auto" w:fill="FFC000"/>
          </w:tcPr>
          <w:p w14:paraId="7DD892BF" w14:textId="77777777" w:rsidR="008C06BB" w:rsidRPr="00991DB8" w:rsidRDefault="008C06BB" w:rsidP="006B5512">
            <w:pPr>
              <w:rPr>
                <w:rFonts w:ascii="Arial" w:eastAsia="Calibri" w:hAnsi="Arial" w:cs="Arial"/>
                <w:b/>
                <w:sz w:val="20"/>
                <w:szCs w:val="20"/>
              </w:rPr>
            </w:pPr>
            <w:r>
              <w:rPr>
                <w:rFonts w:ascii="Arial" w:eastAsia="Calibri" w:hAnsi="Arial" w:cs="Arial"/>
                <w:b/>
                <w:sz w:val="20"/>
                <w:szCs w:val="20"/>
              </w:rPr>
              <w:t>REMEDIAL ACTIONS</w:t>
            </w:r>
          </w:p>
        </w:tc>
      </w:tr>
      <w:tr w:rsidR="008C06BB" w:rsidRPr="005573D2" w14:paraId="33EB8622" w14:textId="77777777" w:rsidTr="006B5512">
        <w:tc>
          <w:tcPr>
            <w:tcW w:w="993" w:type="dxa"/>
          </w:tcPr>
          <w:p w14:paraId="48886DFA" w14:textId="45A12CC0" w:rsidR="008C06BB" w:rsidRPr="005573D2" w:rsidRDefault="00D60972" w:rsidP="006B5512">
            <w:pPr>
              <w:rPr>
                <w:rFonts w:ascii="Arial" w:eastAsia="Calibri" w:hAnsi="Arial" w:cs="Arial"/>
                <w:bCs/>
                <w:sz w:val="20"/>
                <w:szCs w:val="20"/>
              </w:rPr>
            </w:pPr>
            <w:r>
              <w:rPr>
                <w:rFonts w:ascii="Arial" w:eastAsia="Calibri" w:hAnsi="Arial" w:cs="Arial"/>
                <w:bCs/>
                <w:sz w:val="20"/>
                <w:szCs w:val="20"/>
              </w:rPr>
              <w:t>PWBS 2</w:t>
            </w:r>
          </w:p>
        </w:tc>
        <w:tc>
          <w:tcPr>
            <w:tcW w:w="1984" w:type="dxa"/>
          </w:tcPr>
          <w:p w14:paraId="34EFF50D" w14:textId="76465AEE"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Number of meters of roads storm water installed</w:t>
            </w:r>
          </w:p>
        </w:tc>
        <w:tc>
          <w:tcPr>
            <w:tcW w:w="1276" w:type="dxa"/>
          </w:tcPr>
          <w:p w14:paraId="7498B668" w14:textId="32EFB3FB" w:rsidR="008C06BB" w:rsidRPr="005573D2" w:rsidRDefault="00D60972" w:rsidP="006B5512">
            <w:pPr>
              <w:rPr>
                <w:rFonts w:ascii="Arial" w:eastAsia="Calibri" w:hAnsi="Arial" w:cs="Arial"/>
                <w:bCs/>
                <w:sz w:val="20"/>
                <w:szCs w:val="20"/>
              </w:rPr>
            </w:pPr>
            <w:r>
              <w:rPr>
                <w:rFonts w:ascii="Arial" w:eastAsia="Calibri" w:hAnsi="Arial" w:cs="Arial"/>
                <w:bCs/>
                <w:sz w:val="20"/>
                <w:szCs w:val="20"/>
              </w:rPr>
              <w:t>46m</w:t>
            </w:r>
          </w:p>
        </w:tc>
        <w:tc>
          <w:tcPr>
            <w:tcW w:w="1984" w:type="dxa"/>
          </w:tcPr>
          <w:p w14:paraId="219AA6F3" w14:textId="62522D6A" w:rsidR="008C06BB" w:rsidRPr="005573D2" w:rsidRDefault="00D60972" w:rsidP="006B5512">
            <w:pPr>
              <w:rPr>
                <w:rFonts w:ascii="Arial" w:eastAsia="Calibri" w:hAnsi="Arial" w:cs="Arial"/>
                <w:bCs/>
                <w:sz w:val="20"/>
                <w:szCs w:val="20"/>
              </w:rPr>
            </w:pPr>
            <w:r>
              <w:rPr>
                <w:rFonts w:ascii="Arial" w:eastAsia="Calibri" w:hAnsi="Arial" w:cs="Arial"/>
                <w:bCs/>
                <w:sz w:val="20"/>
                <w:szCs w:val="20"/>
              </w:rPr>
              <w:t xml:space="preserve">Target not achieved, 0 m of </w:t>
            </w:r>
            <w:r w:rsidRPr="00D60972">
              <w:rPr>
                <w:rFonts w:ascii="Arial" w:eastAsia="Calibri" w:hAnsi="Arial" w:cs="Arial"/>
                <w:bCs/>
                <w:sz w:val="20"/>
                <w:szCs w:val="20"/>
              </w:rPr>
              <w:t>roads storm water were installed by 31 December 2020</w:t>
            </w:r>
          </w:p>
        </w:tc>
        <w:tc>
          <w:tcPr>
            <w:tcW w:w="2694" w:type="dxa"/>
          </w:tcPr>
          <w:p w14:paraId="450372CC" w14:textId="5A52558A" w:rsidR="008C06BB" w:rsidRPr="005573D2" w:rsidRDefault="00D60972" w:rsidP="006B5512">
            <w:pPr>
              <w:rPr>
                <w:rFonts w:ascii="Arial" w:eastAsia="Calibri" w:hAnsi="Arial" w:cs="Arial"/>
                <w:bCs/>
                <w:sz w:val="20"/>
                <w:szCs w:val="20"/>
              </w:rPr>
            </w:pPr>
            <w:r>
              <w:rPr>
                <w:rFonts w:ascii="Arial" w:eastAsia="Calibri" w:hAnsi="Arial" w:cs="Arial"/>
                <w:bCs/>
                <w:sz w:val="20"/>
                <w:szCs w:val="20"/>
              </w:rPr>
              <w:t xml:space="preserve">Procurement processes </w:t>
            </w:r>
            <w:r w:rsidRPr="00D60972">
              <w:rPr>
                <w:rFonts w:ascii="Arial" w:eastAsia="Calibri" w:hAnsi="Arial" w:cs="Arial"/>
                <w:bCs/>
                <w:sz w:val="20"/>
                <w:szCs w:val="20"/>
              </w:rPr>
              <w:t>were delayed due to COVID pandemic</w:t>
            </w:r>
          </w:p>
        </w:tc>
        <w:tc>
          <w:tcPr>
            <w:tcW w:w="1559" w:type="dxa"/>
          </w:tcPr>
          <w:p w14:paraId="3057D0A1" w14:textId="7716331C"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In lia</w:t>
            </w:r>
            <w:r>
              <w:rPr>
                <w:rFonts w:ascii="Arial" w:eastAsia="Calibri" w:hAnsi="Arial" w:cs="Arial"/>
                <w:bCs/>
                <w:sz w:val="20"/>
                <w:szCs w:val="20"/>
              </w:rPr>
              <w:t>i</w:t>
            </w:r>
            <w:r w:rsidRPr="00D60972">
              <w:rPr>
                <w:rFonts w:ascii="Arial" w:eastAsia="Calibri" w:hAnsi="Arial" w:cs="Arial"/>
                <w:bCs/>
                <w:sz w:val="20"/>
                <w:szCs w:val="20"/>
              </w:rPr>
              <w:t>son with SCM will make sure that the procurement process are concluded by end of quarter 3.</w:t>
            </w:r>
          </w:p>
        </w:tc>
      </w:tr>
      <w:tr w:rsidR="008C06BB" w:rsidRPr="005573D2" w14:paraId="052575FA" w14:textId="77777777" w:rsidTr="006B5512">
        <w:tc>
          <w:tcPr>
            <w:tcW w:w="993" w:type="dxa"/>
          </w:tcPr>
          <w:p w14:paraId="6D85916D" w14:textId="35D4607B" w:rsidR="008C06BB" w:rsidRPr="005573D2" w:rsidRDefault="00D60972" w:rsidP="006B5512">
            <w:pPr>
              <w:rPr>
                <w:rFonts w:ascii="Arial" w:eastAsia="Calibri" w:hAnsi="Arial" w:cs="Arial"/>
                <w:bCs/>
                <w:sz w:val="20"/>
                <w:szCs w:val="20"/>
              </w:rPr>
            </w:pPr>
            <w:r>
              <w:rPr>
                <w:rFonts w:ascii="Arial" w:eastAsia="Calibri" w:hAnsi="Arial" w:cs="Arial"/>
                <w:bCs/>
                <w:sz w:val="20"/>
                <w:szCs w:val="20"/>
              </w:rPr>
              <w:t>PWBS 6</w:t>
            </w:r>
          </w:p>
        </w:tc>
        <w:tc>
          <w:tcPr>
            <w:tcW w:w="1984" w:type="dxa"/>
          </w:tcPr>
          <w:p w14:paraId="382902F3" w14:textId="111EE309"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Percentage of community halls constructed</w:t>
            </w:r>
          </w:p>
        </w:tc>
        <w:tc>
          <w:tcPr>
            <w:tcW w:w="1276" w:type="dxa"/>
          </w:tcPr>
          <w:p w14:paraId="186303F7" w14:textId="3A845692"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Advertising for  suitable service providers to construct 2 community halls</w:t>
            </w:r>
          </w:p>
        </w:tc>
        <w:tc>
          <w:tcPr>
            <w:tcW w:w="1984" w:type="dxa"/>
          </w:tcPr>
          <w:p w14:paraId="299BCC7C" w14:textId="5C56F53A"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Target not achieved, no advert has been published for the construction of the two community halls</w:t>
            </w:r>
          </w:p>
        </w:tc>
        <w:tc>
          <w:tcPr>
            <w:tcW w:w="2694" w:type="dxa"/>
          </w:tcPr>
          <w:p w14:paraId="59007BE6" w14:textId="17A424AF"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There were delays in completing the specification for this project hence it was not advertised within the quarter.</w:t>
            </w:r>
          </w:p>
        </w:tc>
        <w:tc>
          <w:tcPr>
            <w:tcW w:w="1559" w:type="dxa"/>
          </w:tcPr>
          <w:p w14:paraId="029E1202" w14:textId="0C23C607" w:rsidR="008C06BB"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The department is currently busy with the registration of these project to MIG and upon finalisation of MIG registration the project will then be advertised within Q3 of 2020/21</w:t>
            </w:r>
          </w:p>
        </w:tc>
      </w:tr>
      <w:tr w:rsidR="00D60972" w:rsidRPr="005573D2" w14:paraId="0160A8FC" w14:textId="77777777" w:rsidTr="006B5512">
        <w:tc>
          <w:tcPr>
            <w:tcW w:w="993" w:type="dxa"/>
          </w:tcPr>
          <w:p w14:paraId="06FD1348" w14:textId="2CF2D2B4" w:rsidR="00D60972" w:rsidRPr="005573D2" w:rsidRDefault="00D60972" w:rsidP="006B5512">
            <w:pPr>
              <w:rPr>
                <w:rFonts w:ascii="Arial" w:eastAsia="Calibri" w:hAnsi="Arial" w:cs="Arial"/>
                <w:bCs/>
                <w:sz w:val="20"/>
                <w:szCs w:val="20"/>
              </w:rPr>
            </w:pPr>
            <w:r>
              <w:rPr>
                <w:rFonts w:ascii="Arial" w:eastAsia="Calibri" w:hAnsi="Arial" w:cs="Arial"/>
                <w:bCs/>
                <w:sz w:val="20"/>
                <w:szCs w:val="20"/>
              </w:rPr>
              <w:t>PWBS19</w:t>
            </w:r>
          </w:p>
        </w:tc>
        <w:tc>
          <w:tcPr>
            <w:tcW w:w="1984" w:type="dxa"/>
          </w:tcPr>
          <w:p w14:paraId="35D9762B" w14:textId="20FD362F" w:rsidR="00D60972"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Number of feasibility studies finalised</w:t>
            </w:r>
          </w:p>
        </w:tc>
        <w:tc>
          <w:tcPr>
            <w:tcW w:w="1276" w:type="dxa"/>
          </w:tcPr>
          <w:p w14:paraId="72970E42" w14:textId="3D854265" w:rsidR="00D60972"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1 x Draft Bulwer cemet</w:t>
            </w:r>
            <w:r>
              <w:rPr>
                <w:rFonts w:ascii="Arial" w:eastAsia="Calibri" w:hAnsi="Arial" w:cs="Arial"/>
                <w:bCs/>
                <w:sz w:val="20"/>
                <w:szCs w:val="20"/>
              </w:rPr>
              <w:t>e</w:t>
            </w:r>
            <w:r w:rsidRPr="00D60972">
              <w:rPr>
                <w:rFonts w:ascii="Arial" w:eastAsia="Calibri" w:hAnsi="Arial" w:cs="Arial"/>
                <w:bCs/>
                <w:sz w:val="20"/>
                <w:szCs w:val="20"/>
              </w:rPr>
              <w:t>ry feasibility report</w:t>
            </w:r>
          </w:p>
        </w:tc>
        <w:tc>
          <w:tcPr>
            <w:tcW w:w="1984" w:type="dxa"/>
          </w:tcPr>
          <w:p w14:paraId="280AF47C" w14:textId="73B57574" w:rsidR="00D60972" w:rsidRPr="005573D2" w:rsidRDefault="00D60972" w:rsidP="006B5512">
            <w:pPr>
              <w:rPr>
                <w:rFonts w:ascii="Arial" w:eastAsia="Calibri" w:hAnsi="Arial" w:cs="Arial"/>
                <w:bCs/>
                <w:sz w:val="20"/>
                <w:szCs w:val="20"/>
              </w:rPr>
            </w:pPr>
            <w:r>
              <w:rPr>
                <w:rFonts w:ascii="Arial" w:eastAsia="Calibri" w:hAnsi="Arial" w:cs="Arial"/>
                <w:bCs/>
                <w:sz w:val="20"/>
                <w:szCs w:val="20"/>
              </w:rPr>
              <w:t>Target Not achieved, no draft B</w:t>
            </w:r>
            <w:r w:rsidRPr="00D60972">
              <w:rPr>
                <w:rFonts w:ascii="Arial" w:eastAsia="Calibri" w:hAnsi="Arial" w:cs="Arial"/>
                <w:bCs/>
                <w:sz w:val="20"/>
                <w:szCs w:val="20"/>
              </w:rPr>
              <w:t>ulwer cemet</w:t>
            </w:r>
            <w:r>
              <w:rPr>
                <w:rFonts w:ascii="Arial" w:eastAsia="Calibri" w:hAnsi="Arial" w:cs="Arial"/>
                <w:bCs/>
                <w:sz w:val="20"/>
                <w:szCs w:val="20"/>
              </w:rPr>
              <w:t>e</w:t>
            </w:r>
            <w:r w:rsidRPr="00D60972">
              <w:rPr>
                <w:rFonts w:ascii="Arial" w:eastAsia="Calibri" w:hAnsi="Arial" w:cs="Arial"/>
                <w:bCs/>
                <w:sz w:val="20"/>
                <w:szCs w:val="20"/>
              </w:rPr>
              <w:t xml:space="preserve">ry feasibility report has been developed.  </w:t>
            </w:r>
          </w:p>
        </w:tc>
        <w:tc>
          <w:tcPr>
            <w:tcW w:w="2694" w:type="dxa"/>
          </w:tcPr>
          <w:p w14:paraId="47521249" w14:textId="2EAECDF6" w:rsidR="00D60972"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The project was advertised but bid commi</w:t>
            </w:r>
            <w:r>
              <w:rPr>
                <w:rFonts w:ascii="Arial" w:eastAsia="Calibri" w:hAnsi="Arial" w:cs="Arial"/>
                <w:bCs/>
                <w:sz w:val="20"/>
                <w:szCs w:val="20"/>
              </w:rPr>
              <w:t>t</w:t>
            </w:r>
            <w:r w:rsidRPr="00D60972">
              <w:rPr>
                <w:rFonts w:ascii="Arial" w:eastAsia="Calibri" w:hAnsi="Arial" w:cs="Arial"/>
                <w:bCs/>
                <w:sz w:val="20"/>
                <w:szCs w:val="20"/>
              </w:rPr>
              <w:t>tees did not find suitable service provider which led to the project being re- advertised.</w:t>
            </w:r>
          </w:p>
        </w:tc>
        <w:tc>
          <w:tcPr>
            <w:tcW w:w="1559" w:type="dxa"/>
          </w:tcPr>
          <w:p w14:paraId="3294612C" w14:textId="1E5C6834" w:rsidR="00D60972" w:rsidRPr="005573D2" w:rsidRDefault="00D60972" w:rsidP="006B5512">
            <w:pPr>
              <w:rPr>
                <w:rFonts w:ascii="Arial" w:eastAsia="Calibri" w:hAnsi="Arial" w:cs="Arial"/>
                <w:bCs/>
                <w:sz w:val="20"/>
                <w:szCs w:val="20"/>
              </w:rPr>
            </w:pPr>
            <w:r w:rsidRPr="00D60972">
              <w:rPr>
                <w:rFonts w:ascii="Arial" w:eastAsia="Calibri" w:hAnsi="Arial" w:cs="Arial"/>
                <w:bCs/>
                <w:sz w:val="20"/>
                <w:szCs w:val="20"/>
              </w:rPr>
              <w:t>In lia</w:t>
            </w:r>
            <w:r>
              <w:rPr>
                <w:rFonts w:ascii="Arial" w:eastAsia="Calibri" w:hAnsi="Arial" w:cs="Arial"/>
                <w:bCs/>
                <w:sz w:val="20"/>
                <w:szCs w:val="20"/>
              </w:rPr>
              <w:t>i</w:t>
            </w:r>
            <w:r w:rsidRPr="00D60972">
              <w:rPr>
                <w:rFonts w:ascii="Arial" w:eastAsia="Calibri" w:hAnsi="Arial" w:cs="Arial"/>
                <w:bCs/>
                <w:sz w:val="20"/>
                <w:szCs w:val="20"/>
              </w:rPr>
              <w:t>son with SCM the department will ensure that the procurement process are concluded before the end of quarter 4 of 2020/21</w:t>
            </w:r>
          </w:p>
        </w:tc>
      </w:tr>
    </w:tbl>
    <w:p w14:paraId="092BA17D" w14:textId="77777777" w:rsidR="008C06BB" w:rsidRDefault="008C06BB" w:rsidP="008C06BB">
      <w:pPr>
        <w:jc w:val="both"/>
        <w:rPr>
          <w:rFonts w:ascii="Arial" w:hAnsi="Arial" w:cs="Arial"/>
          <w:b/>
          <w:bCs/>
          <w:sz w:val="20"/>
          <w:szCs w:val="20"/>
        </w:rPr>
      </w:pPr>
    </w:p>
    <w:p w14:paraId="69DEDC37" w14:textId="77777777" w:rsidR="008C06BB" w:rsidRDefault="008C06BB" w:rsidP="008C06BB">
      <w:pPr>
        <w:jc w:val="both"/>
        <w:rPr>
          <w:rFonts w:ascii="Arial" w:hAnsi="Arial" w:cs="Arial"/>
          <w:b/>
          <w:bCs/>
          <w:sz w:val="20"/>
          <w:szCs w:val="20"/>
        </w:rPr>
      </w:pPr>
    </w:p>
    <w:p w14:paraId="25B3142F" w14:textId="77777777" w:rsidR="008C06BB" w:rsidRDefault="008C06BB" w:rsidP="008C06BB">
      <w:pPr>
        <w:jc w:val="both"/>
        <w:rPr>
          <w:rFonts w:ascii="Arial" w:hAnsi="Arial" w:cs="Arial"/>
          <w:b/>
          <w:bCs/>
          <w:sz w:val="20"/>
          <w:szCs w:val="20"/>
        </w:rPr>
      </w:pPr>
    </w:p>
    <w:p w14:paraId="27E655FF" w14:textId="1DD6EAD1" w:rsidR="00065950" w:rsidRDefault="00065950" w:rsidP="00385F9B">
      <w:pPr>
        <w:jc w:val="both"/>
        <w:rPr>
          <w:rFonts w:ascii="Arial" w:hAnsi="Arial" w:cs="Arial"/>
          <w:b/>
          <w:bCs/>
          <w:sz w:val="20"/>
          <w:szCs w:val="20"/>
        </w:rPr>
      </w:pPr>
    </w:p>
    <w:p w14:paraId="3309BCB5" w14:textId="79A24205" w:rsidR="00C35E98" w:rsidRDefault="00C35E98" w:rsidP="00385F9B">
      <w:pPr>
        <w:jc w:val="both"/>
        <w:rPr>
          <w:rFonts w:ascii="Arial" w:hAnsi="Arial" w:cs="Arial"/>
          <w:b/>
          <w:bCs/>
          <w:sz w:val="20"/>
          <w:szCs w:val="20"/>
        </w:rPr>
      </w:pPr>
    </w:p>
    <w:p w14:paraId="60CBC183" w14:textId="13858BBD" w:rsidR="00C35E98" w:rsidRDefault="00C35E98" w:rsidP="00385F9B">
      <w:pPr>
        <w:jc w:val="both"/>
        <w:rPr>
          <w:rFonts w:ascii="Arial" w:hAnsi="Arial" w:cs="Arial"/>
          <w:b/>
          <w:bCs/>
          <w:sz w:val="20"/>
          <w:szCs w:val="20"/>
        </w:rPr>
      </w:pPr>
    </w:p>
    <w:p w14:paraId="054E9327" w14:textId="2184EE9D" w:rsidR="00C35E98" w:rsidRDefault="00C35E98" w:rsidP="00385F9B">
      <w:pPr>
        <w:jc w:val="both"/>
        <w:rPr>
          <w:rFonts w:ascii="Arial" w:hAnsi="Arial" w:cs="Arial"/>
          <w:b/>
          <w:bCs/>
          <w:sz w:val="20"/>
          <w:szCs w:val="20"/>
        </w:rPr>
      </w:pPr>
    </w:p>
    <w:p w14:paraId="03C2C93E" w14:textId="35CCC986" w:rsidR="00C35E98" w:rsidRDefault="00C35E98" w:rsidP="00385F9B">
      <w:pPr>
        <w:jc w:val="both"/>
        <w:rPr>
          <w:rFonts w:ascii="Arial" w:hAnsi="Arial" w:cs="Arial"/>
          <w:b/>
          <w:bCs/>
          <w:sz w:val="20"/>
          <w:szCs w:val="20"/>
        </w:rPr>
      </w:pPr>
    </w:p>
    <w:p w14:paraId="1BF6C43E" w14:textId="6ECFFA1F" w:rsidR="00065950" w:rsidRPr="008775D3" w:rsidRDefault="00065950" w:rsidP="00C53DA6">
      <w:pPr>
        <w:pStyle w:val="Heading1"/>
        <w:numPr>
          <w:ilvl w:val="1"/>
          <w:numId w:val="2"/>
        </w:numPr>
        <w:rPr>
          <w:rFonts w:ascii="Arial" w:hAnsi="Arial" w:cs="Arial"/>
          <w:b/>
          <w:bCs/>
          <w:color w:val="000000" w:themeColor="text1"/>
          <w:sz w:val="20"/>
          <w:szCs w:val="20"/>
        </w:rPr>
      </w:pPr>
      <w:bookmarkStart w:id="221" w:name="_Toc61962848"/>
      <w:r w:rsidRPr="008775D3">
        <w:rPr>
          <w:rFonts w:ascii="Arial" w:hAnsi="Arial" w:cs="Arial"/>
          <w:b/>
          <w:bCs/>
          <w:color w:val="000000" w:themeColor="text1"/>
          <w:sz w:val="20"/>
          <w:szCs w:val="20"/>
        </w:rPr>
        <w:lastRenderedPageBreak/>
        <w:t>BUDGET AND TREASURY OFFICE</w:t>
      </w:r>
      <w:bookmarkEnd w:id="221"/>
    </w:p>
    <w:p w14:paraId="50EDFCB4" w14:textId="77777777" w:rsidR="008775D3" w:rsidRPr="008775D3" w:rsidRDefault="008775D3" w:rsidP="008775D3">
      <w:pPr>
        <w:pStyle w:val="ListParagraph"/>
        <w:rPr>
          <w:color w:val="000000" w:themeColor="text1"/>
        </w:rPr>
      </w:pPr>
    </w:p>
    <w:p w14:paraId="672C5359" w14:textId="3BB14F04" w:rsidR="00065950" w:rsidRDefault="00065950" w:rsidP="00065950">
      <w:pPr>
        <w:pStyle w:val="NoSpacing"/>
        <w:jc w:val="both"/>
        <w:rPr>
          <w:rFonts w:ascii="Arial" w:hAnsi="Arial" w:cs="Arial"/>
          <w:color w:val="000000" w:themeColor="text1"/>
          <w:sz w:val="20"/>
          <w:szCs w:val="20"/>
        </w:rPr>
      </w:pPr>
      <w:r w:rsidRPr="008775D3">
        <w:rPr>
          <w:rFonts w:ascii="Arial" w:hAnsi="Arial" w:cs="Arial"/>
          <w:color w:val="000000" w:themeColor="text1"/>
          <w:sz w:val="20"/>
          <w:szCs w:val="20"/>
          <w:shd w:val="clear" w:color="auto" w:fill="FFFFFF"/>
        </w:rPr>
        <w:t>The function of the Finance Department is to secure sound and sustainable management of the financial affairs of municipality</w:t>
      </w:r>
      <w:r w:rsidRPr="008775D3">
        <w:rPr>
          <w:rFonts w:ascii="Arial" w:hAnsi="Arial" w:cs="Arial"/>
          <w:color w:val="000000" w:themeColor="text1"/>
          <w:sz w:val="20"/>
          <w:szCs w:val="20"/>
        </w:rPr>
        <w:t>, which includes Revenue collection, Expenditure Management, Supply Chain Management and Asset and Fleet Management. The Budget and Treasury office consists of five units namely:</w:t>
      </w:r>
    </w:p>
    <w:p w14:paraId="1C310FAB" w14:textId="77777777" w:rsidR="00911D2E" w:rsidRPr="008775D3" w:rsidRDefault="00911D2E" w:rsidP="00065950">
      <w:pPr>
        <w:pStyle w:val="NoSpacing"/>
        <w:jc w:val="both"/>
        <w:rPr>
          <w:rFonts w:ascii="Arial" w:hAnsi="Arial" w:cs="Arial"/>
          <w:color w:val="000000" w:themeColor="text1"/>
          <w:sz w:val="20"/>
          <w:szCs w:val="20"/>
        </w:rPr>
      </w:pPr>
    </w:p>
    <w:p w14:paraId="2A866CD4" w14:textId="77777777" w:rsidR="00065950" w:rsidRPr="008775D3" w:rsidRDefault="00065950" w:rsidP="00065950">
      <w:pPr>
        <w:pStyle w:val="NoSpacing"/>
        <w:numPr>
          <w:ilvl w:val="0"/>
          <w:numId w:val="10"/>
        </w:numPr>
        <w:jc w:val="both"/>
        <w:rPr>
          <w:rFonts w:ascii="Arial" w:hAnsi="Arial" w:cs="Arial"/>
          <w:color w:val="000000" w:themeColor="text1"/>
          <w:sz w:val="20"/>
          <w:szCs w:val="20"/>
        </w:rPr>
      </w:pPr>
      <w:r w:rsidRPr="008775D3">
        <w:rPr>
          <w:rFonts w:ascii="Arial" w:hAnsi="Arial" w:cs="Arial"/>
          <w:color w:val="000000" w:themeColor="text1"/>
          <w:sz w:val="20"/>
          <w:szCs w:val="20"/>
        </w:rPr>
        <w:t>Supply Chain Management</w:t>
      </w:r>
    </w:p>
    <w:p w14:paraId="0209BF49" w14:textId="77777777" w:rsidR="00065950" w:rsidRPr="008775D3" w:rsidRDefault="00065950" w:rsidP="00065950">
      <w:pPr>
        <w:pStyle w:val="NoSpacing"/>
        <w:numPr>
          <w:ilvl w:val="0"/>
          <w:numId w:val="10"/>
        </w:numPr>
        <w:jc w:val="both"/>
        <w:rPr>
          <w:rFonts w:ascii="Arial" w:hAnsi="Arial" w:cs="Arial"/>
          <w:color w:val="000000" w:themeColor="text1"/>
          <w:sz w:val="20"/>
          <w:szCs w:val="20"/>
        </w:rPr>
      </w:pPr>
      <w:r w:rsidRPr="008775D3">
        <w:rPr>
          <w:rFonts w:ascii="Arial" w:hAnsi="Arial" w:cs="Arial"/>
          <w:color w:val="000000" w:themeColor="text1"/>
          <w:sz w:val="20"/>
          <w:szCs w:val="20"/>
        </w:rPr>
        <w:t>Expenditure Management</w:t>
      </w:r>
    </w:p>
    <w:p w14:paraId="4AFC04D2" w14:textId="77777777" w:rsidR="00065950" w:rsidRPr="008775D3" w:rsidRDefault="00065950" w:rsidP="00065950">
      <w:pPr>
        <w:pStyle w:val="NoSpacing"/>
        <w:numPr>
          <w:ilvl w:val="0"/>
          <w:numId w:val="10"/>
        </w:numPr>
        <w:jc w:val="both"/>
        <w:rPr>
          <w:rFonts w:ascii="Arial" w:hAnsi="Arial" w:cs="Arial"/>
          <w:color w:val="000000" w:themeColor="text1"/>
          <w:sz w:val="20"/>
          <w:szCs w:val="20"/>
        </w:rPr>
      </w:pPr>
      <w:r w:rsidRPr="008775D3">
        <w:rPr>
          <w:rFonts w:ascii="Arial" w:hAnsi="Arial" w:cs="Arial"/>
          <w:color w:val="000000" w:themeColor="text1"/>
          <w:sz w:val="20"/>
          <w:szCs w:val="20"/>
        </w:rPr>
        <w:t>Revenue Management</w:t>
      </w:r>
    </w:p>
    <w:p w14:paraId="4151DA10" w14:textId="77777777" w:rsidR="00065950" w:rsidRPr="008775D3" w:rsidRDefault="00065950" w:rsidP="00065950">
      <w:pPr>
        <w:pStyle w:val="NoSpacing"/>
        <w:numPr>
          <w:ilvl w:val="0"/>
          <w:numId w:val="10"/>
        </w:numPr>
        <w:jc w:val="both"/>
        <w:rPr>
          <w:rFonts w:ascii="Arial" w:hAnsi="Arial" w:cs="Arial"/>
          <w:color w:val="000000" w:themeColor="text1"/>
          <w:sz w:val="20"/>
          <w:szCs w:val="20"/>
        </w:rPr>
      </w:pPr>
      <w:r w:rsidRPr="008775D3">
        <w:rPr>
          <w:rFonts w:ascii="Arial" w:hAnsi="Arial" w:cs="Arial"/>
          <w:color w:val="000000" w:themeColor="text1"/>
          <w:sz w:val="20"/>
          <w:szCs w:val="20"/>
        </w:rPr>
        <w:t>Fleet Management</w:t>
      </w:r>
    </w:p>
    <w:p w14:paraId="7C276642" w14:textId="6500F211" w:rsidR="00065950" w:rsidRDefault="00065950" w:rsidP="00065950">
      <w:pPr>
        <w:pStyle w:val="NoSpacing"/>
        <w:numPr>
          <w:ilvl w:val="0"/>
          <w:numId w:val="10"/>
        </w:numPr>
        <w:jc w:val="both"/>
        <w:rPr>
          <w:rFonts w:ascii="Arial" w:hAnsi="Arial" w:cs="Arial"/>
          <w:color w:val="000000" w:themeColor="text1"/>
          <w:sz w:val="20"/>
          <w:szCs w:val="20"/>
        </w:rPr>
      </w:pPr>
      <w:r w:rsidRPr="008775D3">
        <w:rPr>
          <w:rFonts w:ascii="Arial" w:hAnsi="Arial" w:cs="Arial"/>
          <w:color w:val="000000" w:themeColor="text1"/>
          <w:sz w:val="20"/>
          <w:szCs w:val="20"/>
        </w:rPr>
        <w:t xml:space="preserve">Asset Management </w:t>
      </w:r>
    </w:p>
    <w:p w14:paraId="705359E7" w14:textId="77777777" w:rsidR="00911D2E" w:rsidRPr="008775D3" w:rsidRDefault="00911D2E" w:rsidP="00911D2E">
      <w:pPr>
        <w:pStyle w:val="NoSpacing"/>
        <w:ind w:left="720"/>
        <w:jc w:val="both"/>
        <w:rPr>
          <w:rFonts w:ascii="Arial" w:hAnsi="Arial" w:cs="Arial"/>
          <w:color w:val="000000" w:themeColor="text1"/>
          <w:sz w:val="20"/>
          <w:szCs w:val="20"/>
        </w:rPr>
      </w:pPr>
    </w:p>
    <w:p w14:paraId="25B7ADCA" w14:textId="61DD72AF" w:rsidR="00065950" w:rsidRPr="008775D3" w:rsidRDefault="008775D3" w:rsidP="00065950">
      <w:pPr>
        <w:pStyle w:val="NoSpacing"/>
        <w:jc w:val="both"/>
        <w:rPr>
          <w:rFonts w:ascii="Arial" w:hAnsi="Arial" w:cs="Arial"/>
          <w:color w:val="000000" w:themeColor="text1"/>
          <w:sz w:val="20"/>
          <w:szCs w:val="20"/>
        </w:rPr>
      </w:pPr>
      <w:r w:rsidRPr="008775D3">
        <w:rPr>
          <w:rFonts w:ascii="Arial" w:hAnsi="Arial" w:cs="Arial"/>
          <w:color w:val="000000" w:themeColor="text1"/>
          <w:sz w:val="20"/>
          <w:szCs w:val="20"/>
        </w:rPr>
        <w:t>The department has planned 16</w:t>
      </w:r>
      <w:r w:rsidR="00065950" w:rsidRPr="008775D3">
        <w:rPr>
          <w:rFonts w:ascii="Arial" w:hAnsi="Arial" w:cs="Arial"/>
          <w:color w:val="000000" w:themeColor="text1"/>
          <w:sz w:val="20"/>
          <w:szCs w:val="20"/>
        </w:rPr>
        <w:t xml:space="preserve"> targets for the financial year of those</w:t>
      </w:r>
      <w:r w:rsidRPr="008775D3">
        <w:rPr>
          <w:rFonts w:ascii="Arial" w:hAnsi="Arial" w:cs="Arial"/>
          <w:color w:val="000000" w:themeColor="text1"/>
          <w:sz w:val="20"/>
          <w:szCs w:val="20"/>
        </w:rPr>
        <w:t xml:space="preserve"> eight (08)</w:t>
      </w:r>
      <w:r w:rsidR="001D1C94" w:rsidRPr="008775D3">
        <w:rPr>
          <w:rFonts w:ascii="Arial" w:hAnsi="Arial" w:cs="Arial"/>
          <w:color w:val="000000" w:themeColor="text1"/>
          <w:sz w:val="20"/>
          <w:szCs w:val="20"/>
        </w:rPr>
        <w:t xml:space="preserve"> were not applicable in the quarter,</w:t>
      </w:r>
      <w:r w:rsidR="00065950" w:rsidRPr="008775D3">
        <w:rPr>
          <w:rFonts w:ascii="Arial" w:hAnsi="Arial" w:cs="Arial"/>
          <w:color w:val="000000" w:themeColor="text1"/>
          <w:sz w:val="20"/>
          <w:szCs w:val="20"/>
        </w:rPr>
        <w:t xml:space="preserve"> </w:t>
      </w:r>
      <w:r w:rsidRPr="008775D3">
        <w:rPr>
          <w:rFonts w:ascii="Arial" w:hAnsi="Arial" w:cs="Arial"/>
          <w:color w:val="000000" w:themeColor="text1"/>
          <w:sz w:val="20"/>
          <w:szCs w:val="20"/>
        </w:rPr>
        <w:t>eight</w:t>
      </w:r>
      <w:r w:rsidR="001D1C94" w:rsidRPr="008775D3">
        <w:rPr>
          <w:rFonts w:ascii="Arial" w:hAnsi="Arial" w:cs="Arial"/>
          <w:color w:val="000000" w:themeColor="text1"/>
          <w:sz w:val="20"/>
          <w:szCs w:val="20"/>
        </w:rPr>
        <w:t xml:space="preserve"> were achieved and </w:t>
      </w:r>
      <w:r w:rsidRPr="008775D3">
        <w:rPr>
          <w:rFonts w:ascii="Arial" w:hAnsi="Arial" w:cs="Arial"/>
          <w:color w:val="000000" w:themeColor="text1"/>
          <w:sz w:val="20"/>
          <w:szCs w:val="20"/>
        </w:rPr>
        <w:t xml:space="preserve">none were </w:t>
      </w:r>
      <w:r w:rsidR="001D1C94" w:rsidRPr="008775D3">
        <w:rPr>
          <w:rFonts w:ascii="Arial" w:hAnsi="Arial" w:cs="Arial"/>
          <w:color w:val="000000" w:themeColor="text1"/>
          <w:sz w:val="20"/>
          <w:szCs w:val="20"/>
        </w:rPr>
        <w:t>no</w:t>
      </w:r>
      <w:r>
        <w:rPr>
          <w:rFonts w:ascii="Arial" w:hAnsi="Arial" w:cs="Arial"/>
          <w:color w:val="000000" w:themeColor="text1"/>
          <w:sz w:val="20"/>
          <w:szCs w:val="20"/>
        </w:rPr>
        <w:t xml:space="preserve">t achieved during the quarter. Of the eight targets that were achieved during the quarter four exceeded </w:t>
      </w:r>
      <w:r w:rsidR="00911D2E">
        <w:rPr>
          <w:rFonts w:ascii="Arial" w:hAnsi="Arial" w:cs="Arial"/>
          <w:color w:val="000000" w:themeColor="text1"/>
          <w:sz w:val="20"/>
          <w:szCs w:val="20"/>
        </w:rPr>
        <w:t>planned targets as per the SDBIP i.e. BTO 10, 13, 15&amp; 16 this</w:t>
      </w:r>
      <w:r>
        <w:rPr>
          <w:rFonts w:ascii="Arial" w:hAnsi="Arial" w:cs="Arial"/>
          <w:color w:val="000000" w:themeColor="text1"/>
          <w:sz w:val="20"/>
          <w:szCs w:val="20"/>
        </w:rPr>
        <w:t xml:space="preserve"> constitutes 50</w:t>
      </w:r>
      <w:r w:rsidR="00911D2E">
        <w:rPr>
          <w:rFonts w:ascii="Arial" w:hAnsi="Arial" w:cs="Arial"/>
          <w:color w:val="000000" w:themeColor="text1"/>
          <w:sz w:val="20"/>
          <w:szCs w:val="20"/>
        </w:rPr>
        <w:t xml:space="preserve">% of the department’s overachievement at the mid-year of 2020/21 financial year. </w:t>
      </w:r>
      <w:r w:rsidRPr="008775D3">
        <w:rPr>
          <w:rFonts w:ascii="Arial" w:hAnsi="Arial" w:cs="Arial"/>
          <w:color w:val="000000" w:themeColor="text1"/>
          <w:sz w:val="20"/>
          <w:szCs w:val="20"/>
        </w:rPr>
        <w:t xml:space="preserve"> </w:t>
      </w:r>
    </w:p>
    <w:p w14:paraId="171AA5B0" w14:textId="4602FFF6" w:rsidR="00065950" w:rsidRDefault="00065950" w:rsidP="00385F9B">
      <w:pPr>
        <w:jc w:val="both"/>
        <w:rPr>
          <w:rFonts w:ascii="Arial" w:hAnsi="Arial" w:cs="Arial"/>
          <w:b/>
          <w:bCs/>
          <w:color w:val="000000" w:themeColor="text1"/>
          <w:sz w:val="20"/>
          <w:szCs w:val="20"/>
        </w:rPr>
      </w:pPr>
    </w:p>
    <w:p w14:paraId="7C225542" w14:textId="391C794C" w:rsidR="00C53DA6" w:rsidRPr="008775D3" w:rsidRDefault="00C53DA6" w:rsidP="00385F9B">
      <w:pPr>
        <w:jc w:val="both"/>
        <w:rPr>
          <w:rFonts w:ascii="Arial" w:hAnsi="Arial" w:cs="Arial"/>
          <w:b/>
          <w:bCs/>
          <w:color w:val="000000" w:themeColor="text1"/>
          <w:sz w:val="20"/>
          <w:szCs w:val="20"/>
        </w:rPr>
      </w:pPr>
      <w:r>
        <w:rPr>
          <w:rFonts w:ascii="Arial" w:hAnsi="Arial" w:cs="Arial"/>
          <w:b/>
          <w:bCs/>
          <w:color w:val="000000" w:themeColor="text1"/>
          <w:sz w:val="20"/>
          <w:szCs w:val="20"/>
        </w:rPr>
        <w:t>BUDGET AND TREASURY OFFICE PERFORMANCE FOR Q2 OF 2020/21 AND MID-YEAR/HALF YEAR OF 2020/21 FINANCIAL YEAR</w:t>
      </w:r>
    </w:p>
    <w:tbl>
      <w:tblPr>
        <w:tblpPr w:leftFromText="180" w:rightFromText="180" w:bottomFromText="160" w:vertAnchor="text" w:horzAnchor="page" w:tblpX="1840" w:tblpY="215"/>
        <w:tblW w:w="9016" w:type="dxa"/>
        <w:tblLook w:val="04A0" w:firstRow="1" w:lastRow="0" w:firstColumn="1" w:lastColumn="0" w:noHBand="0" w:noVBand="1"/>
      </w:tblPr>
      <w:tblGrid>
        <w:gridCol w:w="1717"/>
        <w:gridCol w:w="1763"/>
        <w:gridCol w:w="1982"/>
        <w:gridCol w:w="1969"/>
        <w:gridCol w:w="1585"/>
      </w:tblGrid>
      <w:tr w:rsidR="00627852" w:rsidRPr="008775D3" w14:paraId="456B2246" w14:textId="4DBFF248" w:rsidTr="00627852">
        <w:trPr>
          <w:trHeight w:val="558"/>
        </w:trPr>
        <w:tc>
          <w:tcPr>
            <w:tcW w:w="1717" w:type="dxa"/>
            <w:tcBorders>
              <w:top w:val="single" w:sz="4" w:space="0" w:color="auto"/>
              <w:left w:val="single" w:sz="4" w:space="0" w:color="auto"/>
              <w:bottom w:val="single" w:sz="4" w:space="0" w:color="auto"/>
              <w:right w:val="single" w:sz="4" w:space="0" w:color="auto"/>
            </w:tcBorders>
            <w:shd w:val="clear" w:color="auto" w:fill="C00000"/>
            <w:hideMark/>
          </w:tcPr>
          <w:p w14:paraId="142A933A" w14:textId="77777777" w:rsidR="00627852" w:rsidRPr="008775D3" w:rsidRDefault="00627852" w:rsidP="00CF528B">
            <w:pPr>
              <w:rPr>
                <w:rFonts w:ascii="Arial" w:hAnsi="Arial" w:cs="Arial"/>
                <w:b/>
                <w:color w:val="000000" w:themeColor="text1"/>
                <w:sz w:val="20"/>
                <w:szCs w:val="20"/>
                <w:lang w:eastAsia="en-US"/>
              </w:rPr>
            </w:pPr>
            <w:bookmarkStart w:id="222" w:name="_Hlk30166407"/>
            <w:r w:rsidRPr="008775D3">
              <w:rPr>
                <w:rFonts w:ascii="Arial" w:hAnsi="Arial" w:cs="Arial"/>
                <w:b/>
                <w:color w:val="000000" w:themeColor="text1"/>
                <w:sz w:val="20"/>
                <w:szCs w:val="20"/>
                <w:lang w:eastAsia="en-US"/>
              </w:rPr>
              <w:t>Total no. of targets</w:t>
            </w:r>
          </w:p>
        </w:tc>
        <w:tc>
          <w:tcPr>
            <w:tcW w:w="1763" w:type="dxa"/>
            <w:tcBorders>
              <w:top w:val="single" w:sz="4" w:space="0" w:color="auto"/>
              <w:left w:val="nil"/>
              <w:bottom w:val="single" w:sz="4" w:space="0" w:color="auto"/>
              <w:right w:val="single" w:sz="4" w:space="0" w:color="auto"/>
            </w:tcBorders>
            <w:shd w:val="clear" w:color="auto" w:fill="C00000"/>
            <w:hideMark/>
          </w:tcPr>
          <w:p w14:paraId="405EC481" w14:textId="77777777" w:rsidR="00627852" w:rsidRPr="008775D3" w:rsidRDefault="00627852" w:rsidP="00CF528B">
            <w:pPr>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Targets Achieved</w:t>
            </w:r>
          </w:p>
        </w:tc>
        <w:tc>
          <w:tcPr>
            <w:tcW w:w="1982" w:type="dxa"/>
            <w:tcBorders>
              <w:top w:val="single" w:sz="4" w:space="0" w:color="auto"/>
              <w:left w:val="nil"/>
              <w:bottom w:val="single" w:sz="4" w:space="0" w:color="auto"/>
              <w:right w:val="single" w:sz="4" w:space="0" w:color="auto"/>
            </w:tcBorders>
            <w:shd w:val="clear" w:color="auto" w:fill="C00000"/>
            <w:hideMark/>
          </w:tcPr>
          <w:p w14:paraId="0EA557B1" w14:textId="77777777" w:rsidR="00627852" w:rsidRPr="008775D3" w:rsidRDefault="00627852" w:rsidP="00CF528B">
            <w:pPr>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Targets Not Achieved</w:t>
            </w:r>
          </w:p>
        </w:tc>
        <w:tc>
          <w:tcPr>
            <w:tcW w:w="1969" w:type="dxa"/>
            <w:tcBorders>
              <w:top w:val="single" w:sz="4" w:space="0" w:color="auto"/>
              <w:left w:val="nil"/>
              <w:bottom w:val="single" w:sz="4" w:space="0" w:color="auto"/>
              <w:right w:val="single" w:sz="4" w:space="0" w:color="auto"/>
            </w:tcBorders>
            <w:shd w:val="clear" w:color="auto" w:fill="C00000"/>
          </w:tcPr>
          <w:p w14:paraId="7821D812" w14:textId="77777777" w:rsidR="00627852" w:rsidRPr="008775D3" w:rsidRDefault="00627852" w:rsidP="00CF528B">
            <w:pPr>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Not Applicable in Q2</w:t>
            </w:r>
          </w:p>
        </w:tc>
        <w:tc>
          <w:tcPr>
            <w:tcW w:w="1585" w:type="dxa"/>
            <w:tcBorders>
              <w:top w:val="single" w:sz="4" w:space="0" w:color="auto"/>
              <w:left w:val="nil"/>
              <w:bottom w:val="single" w:sz="4" w:space="0" w:color="auto"/>
              <w:right w:val="single" w:sz="4" w:space="0" w:color="auto"/>
            </w:tcBorders>
            <w:shd w:val="clear" w:color="auto" w:fill="C00000"/>
          </w:tcPr>
          <w:p w14:paraId="57BE98DC" w14:textId="2385B002" w:rsidR="00627852" w:rsidRPr="008775D3" w:rsidRDefault="00627852" w:rsidP="00CF528B">
            <w:pPr>
              <w:rPr>
                <w:rFonts w:ascii="Arial" w:hAnsi="Arial" w:cs="Arial"/>
                <w:b/>
                <w:color w:val="000000" w:themeColor="text1"/>
                <w:sz w:val="20"/>
                <w:szCs w:val="20"/>
                <w:lang w:eastAsia="en-US"/>
              </w:rPr>
            </w:pPr>
            <w:r w:rsidRPr="00627852">
              <w:rPr>
                <w:rFonts w:ascii="Arial" w:hAnsi="Arial" w:cs="Arial"/>
                <w:b/>
                <w:color w:val="000000" w:themeColor="text1"/>
                <w:sz w:val="20"/>
                <w:szCs w:val="20"/>
              </w:rPr>
              <w:t>Q1 &amp; Q2 Consolidated Performance at Mid-year 31 December 2020</w:t>
            </w:r>
          </w:p>
        </w:tc>
      </w:tr>
      <w:tr w:rsidR="00627852" w:rsidRPr="008775D3" w14:paraId="38383537" w14:textId="45FB0E8E" w:rsidTr="00627852">
        <w:trPr>
          <w:trHeight w:val="300"/>
        </w:trPr>
        <w:tc>
          <w:tcPr>
            <w:tcW w:w="1717" w:type="dxa"/>
            <w:tcBorders>
              <w:top w:val="single" w:sz="4" w:space="0" w:color="auto"/>
              <w:left w:val="single" w:sz="4" w:space="0" w:color="auto"/>
              <w:bottom w:val="single" w:sz="4" w:space="0" w:color="auto"/>
              <w:right w:val="single" w:sz="4" w:space="0" w:color="auto"/>
            </w:tcBorders>
            <w:hideMark/>
          </w:tcPr>
          <w:p w14:paraId="3A0EBB76" w14:textId="2122E7CD" w:rsidR="00627852" w:rsidRPr="008775D3" w:rsidRDefault="00627852" w:rsidP="00CF528B">
            <w:pPr>
              <w:spacing w:after="0"/>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16</w:t>
            </w:r>
          </w:p>
        </w:tc>
        <w:tc>
          <w:tcPr>
            <w:tcW w:w="1763" w:type="dxa"/>
            <w:tcBorders>
              <w:top w:val="single" w:sz="4" w:space="0" w:color="auto"/>
              <w:left w:val="nil"/>
              <w:bottom w:val="single" w:sz="4" w:space="0" w:color="auto"/>
              <w:right w:val="single" w:sz="4" w:space="0" w:color="auto"/>
            </w:tcBorders>
          </w:tcPr>
          <w:p w14:paraId="623A6426" w14:textId="26B9253F" w:rsidR="00627852" w:rsidRPr="008775D3" w:rsidRDefault="00627852" w:rsidP="00CF528B">
            <w:pPr>
              <w:spacing w:after="0"/>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08</w:t>
            </w:r>
          </w:p>
        </w:tc>
        <w:tc>
          <w:tcPr>
            <w:tcW w:w="1982" w:type="dxa"/>
            <w:tcBorders>
              <w:top w:val="single" w:sz="4" w:space="0" w:color="auto"/>
              <w:left w:val="nil"/>
              <w:bottom w:val="single" w:sz="4" w:space="0" w:color="auto"/>
              <w:right w:val="single" w:sz="4" w:space="0" w:color="auto"/>
            </w:tcBorders>
          </w:tcPr>
          <w:p w14:paraId="7520EE2D" w14:textId="14A410F2" w:rsidR="00627852" w:rsidRPr="008775D3" w:rsidRDefault="00627852" w:rsidP="00CF528B">
            <w:pPr>
              <w:spacing w:after="0"/>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0</w:t>
            </w:r>
          </w:p>
        </w:tc>
        <w:tc>
          <w:tcPr>
            <w:tcW w:w="1969" w:type="dxa"/>
            <w:tcBorders>
              <w:top w:val="single" w:sz="4" w:space="0" w:color="auto"/>
              <w:left w:val="nil"/>
              <w:bottom w:val="single" w:sz="4" w:space="0" w:color="auto"/>
              <w:right w:val="single" w:sz="4" w:space="0" w:color="auto"/>
            </w:tcBorders>
          </w:tcPr>
          <w:p w14:paraId="0B5E3587" w14:textId="202347BF" w:rsidR="00627852" w:rsidRPr="008775D3" w:rsidRDefault="00627852" w:rsidP="00CF528B">
            <w:pPr>
              <w:spacing w:after="0"/>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08</w:t>
            </w:r>
          </w:p>
        </w:tc>
        <w:tc>
          <w:tcPr>
            <w:tcW w:w="1585" w:type="dxa"/>
            <w:tcBorders>
              <w:top w:val="single" w:sz="4" w:space="0" w:color="auto"/>
              <w:left w:val="nil"/>
              <w:bottom w:val="single" w:sz="4" w:space="0" w:color="auto"/>
              <w:right w:val="single" w:sz="4" w:space="0" w:color="auto"/>
            </w:tcBorders>
          </w:tcPr>
          <w:p w14:paraId="4B6A473C" w14:textId="105A6BBC" w:rsidR="00627852" w:rsidRPr="008775D3" w:rsidRDefault="006C4DC1" w:rsidP="00CF528B">
            <w:pPr>
              <w:spacing w:after="0"/>
              <w:jc w:val="right"/>
              <w:rPr>
                <w:rFonts w:ascii="Arial" w:hAnsi="Arial" w:cs="Arial"/>
                <w:b/>
                <w:color w:val="000000" w:themeColor="text1"/>
                <w:sz w:val="20"/>
                <w:szCs w:val="20"/>
                <w:lang w:eastAsia="en-US"/>
              </w:rPr>
            </w:pPr>
            <w:r>
              <w:rPr>
                <w:rFonts w:ascii="Arial" w:hAnsi="Arial" w:cs="Arial"/>
                <w:b/>
                <w:color w:val="000000" w:themeColor="text1"/>
                <w:sz w:val="20"/>
                <w:szCs w:val="20"/>
                <w:lang w:eastAsia="en-US"/>
              </w:rPr>
              <w:t>09</w:t>
            </w:r>
          </w:p>
        </w:tc>
      </w:tr>
      <w:tr w:rsidR="00627852" w:rsidRPr="008775D3" w14:paraId="3C077C06" w14:textId="473BA6FB" w:rsidTr="00627852">
        <w:trPr>
          <w:trHeight w:val="344"/>
        </w:trPr>
        <w:tc>
          <w:tcPr>
            <w:tcW w:w="1717" w:type="dxa"/>
            <w:tcBorders>
              <w:top w:val="single" w:sz="4" w:space="0" w:color="auto"/>
              <w:left w:val="single" w:sz="4" w:space="0" w:color="auto"/>
              <w:bottom w:val="single" w:sz="4" w:space="0" w:color="auto"/>
              <w:right w:val="single" w:sz="4" w:space="0" w:color="auto"/>
            </w:tcBorders>
            <w:hideMark/>
          </w:tcPr>
          <w:p w14:paraId="5F5E4928" w14:textId="77777777" w:rsidR="00627852" w:rsidRPr="008775D3" w:rsidRDefault="00627852" w:rsidP="00CF528B">
            <w:pPr>
              <w:spacing w:after="0"/>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Percentage achievement</w:t>
            </w:r>
          </w:p>
        </w:tc>
        <w:tc>
          <w:tcPr>
            <w:tcW w:w="1763" w:type="dxa"/>
            <w:tcBorders>
              <w:top w:val="single" w:sz="4" w:space="0" w:color="auto"/>
              <w:left w:val="nil"/>
              <w:bottom w:val="single" w:sz="4" w:space="0" w:color="auto"/>
              <w:right w:val="single" w:sz="4" w:space="0" w:color="auto"/>
            </w:tcBorders>
          </w:tcPr>
          <w:p w14:paraId="3F297CFE" w14:textId="71BFAC26" w:rsidR="00627852" w:rsidRPr="008775D3" w:rsidRDefault="00627852" w:rsidP="00CF528B">
            <w:pPr>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100%</w:t>
            </w:r>
          </w:p>
        </w:tc>
        <w:tc>
          <w:tcPr>
            <w:tcW w:w="1982" w:type="dxa"/>
            <w:tcBorders>
              <w:top w:val="single" w:sz="4" w:space="0" w:color="auto"/>
              <w:left w:val="nil"/>
              <w:bottom w:val="single" w:sz="4" w:space="0" w:color="auto"/>
              <w:right w:val="single" w:sz="4" w:space="0" w:color="auto"/>
            </w:tcBorders>
          </w:tcPr>
          <w:p w14:paraId="35ACE09C" w14:textId="1B61F693" w:rsidR="00627852" w:rsidRPr="008775D3" w:rsidRDefault="00627852" w:rsidP="00CF528B">
            <w:pPr>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0%</w:t>
            </w:r>
          </w:p>
        </w:tc>
        <w:tc>
          <w:tcPr>
            <w:tcW w:w="1969" w:type="dxa"/>
            <w:tcBorders>
              <w:top w:val="single" w:sz="4" w:space="0" w:color="auto"/>
              <w:left w:val="nil"/>
              <w:bottom w:val="single" w:sz="4" w:space="0" w:color="auto"/>
              <w:right w:val="single" w:sz="4" w:space="0" w:color="auto"/>
            </w:tcBorders>
          </w:tcPr>
          <w:p w14:paraId="44318D53" w14:textId="48DA8F2B" w:rsidR="00627852" w:rsidRPr="008775D3" w:rsidRDefault="00627852" w:rsidP="00CF528B">
            <w:pPr>
              <w:jc w:val="right"/>
              <w:rPr>
                <w:rFonts w:ascii="Arial" w:hAnsi="Arial" w:cs="Arial"/>
                <w:b/>
                <w:color w:val="000000" w:themeColor="text1"/>
                <w:sz w:val="20"/>
                <w:szCs w:val="20"/>
                <w:lang w:eastAsia="en-US"/>
              </w:rPr>
            </w:pPr>
            <w:r w:rsidRPr="008775D3">
              <w:rPr>
                <w:rFonts w:ascii="Arial" w:hAnsi="Arial" w:cs="Arial"/>
                <w:b/>
                <w:color w:val="000000" w:themeColor="text1"/>
                <w:sz w:val="20"/>
                <w:szCs w:val="20"/>
                <w:lang w:eastAsia="en-US"/>
              </w:rPr>
              <w:t>50%</w:t>
            </w:r>
          </w:p>
        </w:tc>
        <w:tc>
          <w:tcPr>
            <w:tcW w:w="1585" w:type="dxa"/>
            <w:tcBorders>
              <w:top w:val="single" w:sz="4" w:space="0" w:color="auto"/>
              <w:left w:val="nil"/>
              <w:bottom w:val="single" w:sz="4" w:space="0" w:color="auto"/>
              <w:right w:val="single" w:sz="4" w:space="0" w:color="auto"/>
            </w:tcBorders>
          </w:tcPr>
          <w:p w14:paraId="5681D162" w14:textId="64E98FB4" w:rsidR="00627852" w:rsidRPr="008775D3" w:rsidRDefault="006C4DC1" w:rsidP="00CF528B">
            <w:pPr>
              <w:jc w:val="right"/>
              <w:rPr>
                <w:rFonts w:ascii="Arial" w:hAnsi="Arial" w:cs="Arial"/>
                <w:b/>
                <w:color w:val="000000" w:themeColor="text1"/>
                <w:sz w:val="20"/>
                <w:szCs w:val="20"/>
                <w:lang w:eastAsia="en-US"/>
              </w:rPr>
            </w:pPr>
            <w:r>
              <w:rPr>
                <w:rFonts w:ascii="Arial" w:hAnsi="Arial" w:cs="Arial"/>
                <w:b/>
                <w:color w:val="000000" w:themeColor="text1"/>
                <w:sz w:val="20"/>
                <w:szCs w:val="20"/>
                <w:lang w:eastAsia="en-US"/>
              </w:rPr>
              <w:t>100%</w:t>
            </w:r>
          </w:p>
        </w:tc>
      </w:tr>
    </w:tbl>
    <w:bookmarkEnd w:id="222"/>
    <w:p w14:paraId="05DEE448" w14:textId="44A9444F" w:rsidR="00245066" w:rsidRPr="008775D3" w:rsidRDefault="00065950" w:rsidP="008775D3">
      <w:pPr>
        <w:jc w:val="both"/>
        <w:rPr>
          <w:rFonts w:ascii="Arial" w:hAnsi="Arial" w:cs="Arial"/>
          <w:b/>
          <w:bCs/>
          <w:color w:val="000000" w:themeColor="text1"/>
          <w:sz w:val="20"/>
          <w:szCs w:val="20"/>
        </w:rPr>
      </w:pPr>
      <w:r w:rsidRPr="008775D3">
        <w:rPr>
          <w:rFonts w:ascii="Arial" w:hAnsi="Arial" w:cs="Arial"/>
          <w:b/>
          <w:bCs/>
          <w:color w:val="000000" w:themeColor="text1"/>
          <w:sz w:val="20"/>
          <w:szCs w:val="20"/>
        </w:rPr>
        <w:br w:type="textWrapping" w:clear="all"/>
      </w:r>
      <w:r w:rsidR="006C4DC1" w:rsidRPr="006C4DC1">
        <w:rPr>
          <w:rFonts w:ascii="Arial" w:hAnsi="Arial" w:cs="Arial"/>
          <w:noProof/>
          <w:sz w:val="16"/>
          <w:szCs w:val="16"/>
          <w:lang w:val="en-US" w:eastAsia="en-US"/>
        </w:rPr>
        <w:drawing>
          <wp:inline distT="0" distB="0" distL="0" distR="0" wp14:anchorId="2CAE62BE" wp14:editId="584B056D">
            <wp:extent cx="5305425" cy="28956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F06CA5" w14:textId="74C1FCB1" w:rsidR="00245066" w:rsidRPr="008775D3" w:rsidRDefault="00245066" w:rsidP="00385F9B">
      <w:pPr>
        <w:jc w:val="both"/>
        <w:rPr>
          <w:rFonts w:ascii="Arial" w:hAnsi="Arial" w:cs="Arial"/>
          <w:b/>
          <w:bCs/>
          <w:color w:val="000000" w:themeColor="text1"/>
          <w:sz w:val="20"/>
          <w:szCs w:val="20"/>
        </w:rPr>
      </w:pPr>
    </w:p>
    <w:p w14:paraId="1C43CAD0" w14:textId="705C9FC3" w:rsidR="00AF2CC4" w:rsidRPr="00911D2E" w:rsidRDefault="00CF528B" w:rsidP="00911D2E">
      <w:pPr>
        <w:jc w:val="both"/>
        <w:outlineLvl w:val="0"/>
        <w:rPr>
          <w:rFonts w:ascii="Arial" w:hAnsi="Arial" w:cs="Arial"/>
          <w:b/>
          <w:bCs/>
          <w:sz w:val="20"/>
          <w:szCs w:val="20"/>
        </w:rPr>
        <w:sectPr w:rsidR="00AF2CC4" w:rsidRPr="00911D2E">
          <w:pgSz w:w="11906" w:h="16838"/>
          <w:pgMar w:top="1440" w:right="1440" w:bottom="1440" w:left="1440" w:header="708" w:footer="708" w:gutter="0"/>
          <w:cols w:space="708"/>
          <w:docGrid w:linePitch="360"/>
        </w:sectPr>
      </w:pPr>
      <w:r w:rsidRPr="00911D2E">
        <w:rPr>
          <w:rFonts w:ascii="Arial" w:hAnsi="Arial" w:cs="Arial"/>
          <w:b/>
          <w:bCs/>
          <w:sz w:val="20"/>
          <w:szCs w:val="20"/>
        </w:rPr>
        <w:t xml:space="preserve"> </w:t>
      </w:r>
    </w:p>
    <w:p w14:paraId="7723E41E" w14:textId="772BB834" w:rsidR="00CF528B" w:rsidRPr="00CC2032" w:rsidRDefault="00911D2E" w:rsidP="006A6A16">
      <w:pPr>
        <w:pStyle w:val="ListParagraph"/>
        <w:jc w:val="both"/>
        <w:outlineLvl w:val="0"/>
        <w:rPr>
          <w:rFonts w:ascii="Arial" w:hAnsi="Arial" w:cs="Arial"/>
          <w:b/>
          <w:bCs/>
          <w:sz w:val="20"/>
          <w:szCs w:val="20"/>
        </w:rPr>
      </w:pPr>
      <w:bookmarkStart w:id="223" w:name="_Toc61962849"/>
      <w:r>
        <w:rPr>
          <w:rFonts w:ascii="Arial" w:hAnsi="Arial" w:cs="Arial"/>
          <w:b/>
          <w:bCs/>
          <w:sz w:val="20"/>
          <w:szCs w:val="20"/>
        </w:rPr>
        <w:lastRenderedPageBreak/>
        <w:t>OVERALL/</w:t>
      </w:r>
      <w:r w:rsidR="00CF528B" w:rsidRPr="00CC2032">
        <w:rPr>
          <w:rFonts w:ascii="Arial" w:hAnsi="Arial" w:cs="Arial"/>
          <w:b/>
          <w:bCs/>
          <w:sz w:val="20"/>
          <w:szCs w:val="20"/>
        </w:rPr>
        <w:t xml:space="preserve">ORGANISATIONAL PERFORMANCE </w:t>
      </w:r>
      <w:r>
        <w:rPr>
          <w:rFonts w:ascii="Arial" w:hAnsi="Arial" w:cs="Arial"/>
          <w:b/>
          <w:bCs/>
          <w:sz w:val="20"/>
          <w:szCs w:val="20"/>
        </w:rPr>
        <w:t>AT MID-YEAR/ QUARTER 2 OF 2020/21 FINANCIAL YEAR</w:t>
      </w:r>
      <w:bookmarkEnd w:id="223"/>
    </w:p>
    <w:p w14:paraId="30A8141B" w14:textId="3B1821A2" w:rsidR="00CF528B" w:rsidRDefault="00CF528B" w:rsidP="00385F9B">
      <w:pPr>
        <w:jc w:val="both"/>
        <w:rPr>
          <w:rFonts w:ascii="Arial" w:hAnsi="Arial" w:cs="Arial"/>
          <w:b/>
          <w:bCs/>
          <w:sz w:val="20"/>
          <w:szCs w:val="20"/>
        </w:rPr>
      </w:pPr>
    </w:p>
    <w:tbl>
      <w:tblPr>
        <w:tblpPr w:leftFromText="180" w:rightFromText="180" w:vertAnchor="text" w:horzAnchor="margin" w:tblpX="-275" w:tblpY="239"/>
        <w:tblW w:w="9291" w:type="dxa"/>
        <w:tblLook w:val="04A0" w:firstRow="1" w:lastRow="0" w:firstColumn="1" w:lastColumn="0" w:noHBand="0" w:noVBand="1"/>
      </w:tblPr>
      <w:tblGrid>
        <w:gridCol w:w="1690"/>
        <w:gridCol w:w="1106"/>
        <w:gridCol w:w="1106"/>
        <w:gridCol w:w="1195"/>
        <w:gridCol w:w="1228"/>
        <w:gridCol w:w="1483"/>
        <w:gridCol w:w="1483"/>
      </w:tblGrid>
      <w:tr w:rsidR="00F10BFB" w:rsidRPr="00F71263" w14:paraId="799B4967" w14:textId="58F61E20" w:rsidTr="00B07F53">
        <w:trPr>
          <w:trHeight w:val="558"/>
        </w:trPr>
        <w:tc>
          <w:tcPr>
            <w:tcW w:w="1710" w:type="dxa"/>
            <w:tcBorders>
              <w:top w:val="single" w:sz="4" w:space="0" w:color="auto"/>
              <w:left w:val="single" w:sz="4" w:space="0" w:color="auto"/>
              <w:bottom w:val="single" w:sz="4" w:space="0" w:color="auto"/>
              <w:right w:val="single" w:sz="4" w:space="0" w:color="auto"/>
            </w:tcBorders>
            <w:shd w:val="clear" w:color="auto" w:fill="BF8F00"/>
            <w:hideMark/>
          </w:tcPr>
          <w:p w14:paraId="3077F69C" w14:textId="77777777" w:rsidR="00F10BFB" w:rsidRPr="00F71263" w:rsidRDefault="00F10BFB" w:rsidP="00B07F53">
            <w:pPr>
              <w:rPr>
                <w:rFonts w:ascii="Arial" w:hAnsi="Arial" w:cs="Arial"/>
                <w:b/>
                <w:color w:val="000000"/>
                <w:sz w:val="20"/>
                <w:szCs w:val="20"/>
              </w:rPr>
            </w:pPr>
            <w:bookmarkStart w:id="224" w:name="_Hlk30171663"/>
            <w:r w:rsidRPr="00F71263">
              <w:rPr>
                <w:rFonts w:ascii="Arial" w:hAnsi="Arial" w:cs="Arial"/>
                <w:b/>
                <w:color w:val="000000"/>
                <w:sz w:val="20"/>
                <w:szCs w:val="20"/>
              </w:rPr>
              <w:t>Total no. of targets</w:t>
            </w:r>
          </w:p>
        </w:tc>
        <w:tc>
          <w:tcPr>
            <w:tcW w:w="1103" w:type="dxa"/>
            <w:tcBorders>
              <w:top w:val="single" w:sz="4" w:space="0" w:color="auto"/>
              <w:left w:val="nil"/>
              <w:bottom w:val="single" w:sz="4" w:space="0" w:color="auto"/>
              <w:right w:val="single" w:sz="4" w:space="0" w:color="auto"/>
            </w:tcBorders>
            <w:shd w:val="clear" w:color="auto" w:fill="BF8F00"/>
          </w:tcPr>
          <w:p w14:paraId="053C918C" w14:textId="77777777" w:rsidR="00F10BFB" w:rsidRPr="00F71263" w:rsidRDefault="00F10BFB" w:rsidP="00B07F53">
            <w:pPr>
              <w:rPr>
                <w:rFonts w:ascii="Arial" w:hAnsi="Arial" w:cs="Arial"/>
                <w:b/>
                <w:color w:val="000000"/>
                <w:sz w:val="20"/>
                <w:szCs w:val="20"/>
              </w:rPr>
            </w:pPr>
            <w:r w:rsidRPr="00F71263">
              <w:rPr>
                <w:rFonts w:ascii="Arial" w:hAnsi="Arial" w:cs="Arial"/>
                <w:b/>
                <w:color w:val="000000"/>
                <w:sz w:val="20"/>
                <w:szCs w:val="20"/>
              </w:rPr>
              <w:t>Targets Achieved</w:t>
            </w:r>
          </w:p>
        </w:tc>
        <w:tc>
          <w:tcPr>
            <w:tcW w:w="1103" w:type="dxa"/>
            <w:tcBorders>
              <w:top w:val="single" w:sz="4" w:space="0" w:color="auto"/>
              <w:left w:val="nil"/>
              <w:bottom w:val="single" w:sz="4" w:space="0" w:color="auto"/>
              <w:right w:val="single" w:sz="4" w:space="0" w:color="auto"/>
            </w:tcBorders>
            <w:shd w:val="clear" w:color="auto" w:fill="BF8F00"/>
          </w:tcPr>
          <w:p w14:paraId="7FA85749" w14:textId="77777777" w:rsidR="00F10BFB" w:rsidRPr="00F71263" w:rsidRDefault="00F10BFB" w:rsidP="00B07F53">
            <w:pPr>
              <w:rPr>
                <w:rFonts w:ascii="Arial" w:hAnsi="Arial" w:cs="Arial"/>
                <w:b/>
                <w:color w:val="000000"/>
                <w:sz w:val="20"/>
                <w:szCs w:val="20"/>
              </w:rPr>
            </w:pPr>
            <w:r w:rsidRPr="00F71263">
              <w:rPr>
                <w:rFonts w:ascii="Arial" w:hAnsi="Arial" w:cs="Arial"/>
                <w:b/>
                <w:color w:val="000000"/>
                <w:sz w:val="20"/>
                <w:szCs w:val="20"/>
              </w:rPr>
              <w:t>Targets Not Achieved</w:t>
            </w:r>
          </w:p>
        </w:tc>
        <w:tc>
          <w:tcPr>
            <w:tcW w:w="1192" w:type="dxa"/>
            <w:tcBorders>
              <w:top w:val="single" w:sz="4" w:space="0" w:color="auto"/>
              <w:left w:val="nil"/>
              <w:bottom w:val="single" w:sz="4" w:space="0" w:color="auto"/>
              <w:right w:val="single" w:sz="4" w:space="0" w:color="auto"/>
            </w:tcBorders>
            <w:shd w:val="clear" w:color="auto" w:fill="BF8F00"/>
          </w:tcPr>
          <w:p w14:paraId="78298AE5" w14:textId="77777777" w:rsidR="00F10BFB" w:rsidRPr="00F71263" w:rsidRDefault="00F10BFB" w:rsidP="00B07F53">
            <w:pPr>
              <w:rPr>
                <w:rFonts w:ascii="Arial" w:hAnsi="Arial" w:cs="Arial"/>
                <w:b/>
                <w:color w:val="000000"/>
                <w:sz w:val="20"/>
                <w:szCs w:val="20"/>
              </w:rPr>
            </w:pPr>
            <w:r>
              <w:rPr>
                <w:rFonts w:ascii="Arial" w:hAnsi="Arial" w:cs="Arial"/>
                <w:b/>
                <w:color w:val="000000"/>
                <w:sz w:val="20"/>
                <w:szCs w:val="20"/>
              </w:rPr>
              <w:t>Targets not applicable in Q2</w:t>
            </w:r>
          </w:p>
        </w:tc>
        <w:tc>
          <w:tcPr>
            <w:tcW w:w="1225" w:type="dxa"/>
            <w:tcBorders>
              <w:top w:val="single" w:sz="4" w:space="0" w:color="auto"/>
              <w:left w:val="nil"/>
              <w:bottom w:val="single" w:sz="4" w:space="0" w:color="auto"/>
              <w:right w:val="single" w:sz="4" w:space="0" w:color="auto"/>
            </w:tcBorders>
            <w:shd w:val="clear" w:color="auto" w:fill="BF8F00"/>
          </w:tcPr>
          <w:p w14:paraId="364C5455" w14:textId="375E115B" w:rsidR="00F10BFB" w:rsidRPr="006B5512" w:rsidRDefault="00F10BFB" w:rsidP="00B07F53">
            <w:pPr>
              <w:rPr>
                <w:rFonts w:ascii="Arial" w:hAnsi="Arial" w:cs="Arial"/>
                <w:b/>
                <w:color w:val="000000" w:themeColor="text1"/>
                <w:sz w:val="20"/>
                <w:szCs w:val="20"/>
              </w:rPr>
            </w:pPr>
            <w:r>
              <w:rPr>
                <w:rFonts w:ascii="Arial" w:hAnsi="Arial" w:cs="Arial"/>
                <w:b/>
                <w:color w:val="000000" w:themeColor="text1"/>
                <w:sz w:val="20"/>
                <w:szCs w:val="20"/>
              </w:rPr>
              <w:t>Targets not Applicable at Mid-year of 2020/21</w:t>
            </w:r>
          </w:p>
        </w:tc>
        <w:tc>
          <w:tcPr>
            <w:tcW w:w="1479" w:type="dxa"/>
            <w:tcBorders>
              <w:top w:val="single" w:sz="4" w:space="0" w:color="auto"/>
              <w:left w:val="single" w:sz="4" w:space="0" w:color="auto"/>
              <w:bottom w:val="single" w:sz="4" w:space="0" w:color="auto"/>
              <w:right w:val="single" w:sz="4" w:space="0" w:color="auto"/>
            </w:tcBorders>
            <w:shd w:val="clear" w:color="auto" w:fill="BF8F00"/>
          </w:tcPr>
          <w:p w14:paraId="6CC26B4D" w14:textId="7D3C3C7F" w:rsidR="00F10BFB" w:rsidRDefault="00F10BFB" w:rsidP="00B07F53">
            <w:pPr>
              <w:rPr>
                <w:rFonts w:ascii="Arial" w:hAnsi="Arial" w:cs="Arial"/>
                <w:b/>
                <w:color w:val="000000"/>
                <w:sz w:val="20"/>
                <w:szCs w:val="20"/>
              </w:rPr>
            </w:pPr>
            <w:r>
              <w:rPr>
                <w:rFonts w:ascii="Arial" w:hAnsi="Arial" w:cs="Arial"/>
                <w:b/>
                <w:color w:val="000000" w:themeColor="text1"/>
                <w:sz w:val="20"/>
                <w:szCs w:val="20"/>
              </w:rPr>
              <w:t xml:space="preserve">Targets Achieved: </w:t>
            </w:r>
            <w:r w:rsidRPr="006B5512">
              <w:rPr>
                <w:rFonts w:ascii="Arial" w:hAnsi="Arial" w:cs="Arial"/>
                <w:b/>
                <w:color w:val="000000" w:themeColor="text1"/>
                <w:sz w:val="20"/>
                <w:szCs w:val="20"/>
              </w:rPr>
              <w:t>Q1 &amp; Q2 Consolidated Performance at Mid-year 31 December 2020</w:t>
            </w:r>
          </w:p>
        </w:tc>
        <w:tc>
          <w:tcPr>
            <w:tcW w:w="1479" w:type="dxa"/>
            <w:tcBorders>
              <w:top w:val="single" w:sz="4" w:space="0" w:color="auto"/>
              <w:left w:val="single" w:sz="4" w:space="0" w:color="auto"/>
              <w:bottom w:val="single" w:sz="4" w:space="0" w:color="auto"/>
              <w:right w:val="single" w:sz="4" w:space="0" w:color="auto"/>
            </w:tcBorders>
            <w:shd w:val="clear" w:color="auto" w:fill="BF8F00"/>
          </w:tcPr>
          <w:p w14:paraId="74EEA550" w14:textId="18E606EE" w:rsidR="00F10BFB" w:rsidRDefault="00F10BFB" w:rsidP="00B07F53">
            <w:pPr>
              <w:rPr>
                <w:rFonts w:ascii="Arial" w:hAnsi="Arial" w:cs="Arial"/>
                <w:b/>
                <w:color w:val="000000" w:themeColor="text1"/>
                <w:sz w:val="20"/>
                <w:szCs w:val="20"/>
              </w:rPr>
            </w:pPr>
            <w:r>
              <w:rPr>
                <w:rFonts w:ascii="Arial" w:hAnsi="Arial" w:cs="Arial"/>
                <w:b/>
                <w:color w:val="000000" w:themeColor="text1"/>
                <w:sz w:val="20"/>
                <w:szCs w:val="20"/>
              </w:rPr>
              <w:t xml:space="preserve">Targets Not Achieved: </w:t>
            </w:r>
            <w:r w:rsidRPr="006B5512">
              <w:rPr>
                <w:rFonts w:ascii="Arial" w:hAnsi="Arial" w:cs="Arial"/>
                <w:b/>
                <w:color w:val="000000" w:themeColor="text1"/>
                <w:sz w:val="20"/>
                <w:szCs w:val="20"/>
              </w:rPr>
              <w:t>Q1 &amp; Q2 Consolidated Performance at Mid-year 31 December 2020</w:t>
            </w:r>
          </w:p>
        </w:tc>
      </w:tr>
      <w:tr w:rsidR="00F10BFB" w:rsidRPr="00F71263" w14:paraId="467EB66D" w14:textId="0248D94A" w:rsidTr="00B07F53">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555BEBED" w14:textId="0A9FC253"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94</w:t>
            </w:r>
          </w:p>
        </w:tc>
        <w:tc>
          <w:tcPr>
            <w:tcW w:w="1103" w:type="dxa"/>
            <w:tcBorders>
              <w:top w:val="single" w:sz="4" w:space="0" w:color="auto"/>
              <w:left w:val="nil"/>
              <w:bottom w:val="single" w:sz="4" w:space="0" w:color="auto"/>
              <w:right w:val="single" w:sz="4" w:space="0" w:color="auto"/>
            </w:tcBorders>
            <w:shd w:val="clear" w:color="auto" w:fill="auto"/>
          </w:tcPr>
          <w:p w14:paraId="4276D883" w14:textId="565A585A"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45</w:t>
            </w:r>
          </w:p>
        </w:tc>
        <w:tc>
          <w:tcPr>
            <w:tcW w:w="1103" w:type="dxa"/>
            <w:tcBorders>
              <w:top w:val="single" w:sz="4" w:space="0" w:color="auto"/>
              <w:left w:val="nil"/>
              <w:bottom w:val="single" w:sz="4" w:space="0" w:color="auto"/>
              <w:right w:val="single" w:sz="4" w:space="0" w:color="auto"/>
            </w:tcBorders>
          </w:tcPr>
          <w:p w14:paraId="645CE544" w14:textId="28AAA2E9"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11</w:t>
            </w:r>
          </w:p>
        </w:tc>
        <w:tc>
          <w:tcPr>
            <w:tcW w:w="1192" w:type="dxa"/>
            <w:tcBorders>
              <w:top w:val="single" w:sz="4" w:space="0" w:color="auto"/>
              <w:left w:val="nil"/>
              <w:bottom w:val="single" w:sz="4" w:space="0" w:color="auto"/>
              <w:right w:val="single" w:sz="4" w:space="0" w:color="auto"/>
            </w:tcBorders>
          </w:tcPr>
          <w:p w14:paraId="5AD44D13" w14:textId="1F801EC9"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38</w:t>
            </w:r>
          </w:p>
        </w:tc>
        <w:tc>
          <w:tcPr>
            <w:tcW w:w="1225" w:type="dxa"/>
            <w:tcBorders>
              <w:top w:val="single" w:sz="4" w:space="0" w:color="auto"/>
              <w:left w:val="nil"/>
              <w:bottom w:val="single" w:sz="4" w:space="0" w:color="auto"/>
              <w:right w:val="single" w:sz="4" w:space="0" w:color="auto"/>
            </w:tcBorders>
          </w:tcPr>
          <w:p w14:paraId="646DFBC2" w14:textId="02BE0EA8" w:rsidR="00F10BFB" w:rsidRDefault="00F10BFB" w:rsidP="00B07F53">
            <w:pPr>
              <w:spacing w:after="0"/>
              <w:jc w:val="right"/>
              <w:rPr>
                <w:rFonts w:ascii="Arial" w:hAnsi="Arial" w:cs="Arial"/>
                <w:b/>
                <w:color w:val="000000"/>
                <w:sz w:val="20"/>
                <w:szCs w:val="20"/>
              </w:rPr>
            </w:pPr>
            <w:r>
              <w:rPr>
                <w:rFonts w:ascii="Arial" w:hAnsi="Arial" w:cs="Arial"/>
                <w:b/>
                <w:color w:val="000000"/>
                <w:sz w:val="20"/>
                <w:szCs w:val="20"/>
              </w:rPr>
              <w:t>35</w:t>
            </w:r>
          </w:p>
        </w:tc>
        <w:tc>
          <w:tcPr>
            <w:tcW w:w="1479" w:type="dxa"/>
            <w:tcBorders>
              <w:top w:val="single" w:sz="4" w:space="0" w:color="auto"/>
              <w:left w:val="single" w:sz="4" w:space="0" w:color="auto"/>
              <w:bottom w:val="single" w:sz="4" w:space="0" w:color="auto"/>
              <w:right w:val="single" w:sz="4" w:space="0" w:color="auto"/>
            </w:tcBorders>
          </w:tcPr>
          <w:p w14:paraId="1D9DB6E8" w14:textId="5876C27B" w:rsidR="00F10BFB" w:rsidRPr="00F71263" w:rsidRDefault="00125F27" w:rsidP="00B07F53">
            <w:pPr>
              <w:spacing w:after="0"/>
              <w:jc w:val="right"/>
              <w:rPr>
                <w:rFonts w:ascii="Arial" w:hAnsi="Arial" w:cs="Arial"/>
                <w:b/>
                <w:color w:val="000000"/>
                <w:sz w:val="20"/>
                <w:szCs w:val="20"/>
              </w:rPr>
            </w:pPr>
            <w:r>
              <w:rPr>
                <w:rFonts w:ascii="Arial" w:hAnsi="Arial" w:cs="Arial"/>
                <w:b/>
                <w:color w:val="000000"/>
                <w:sz w:val="20"/>
                <w:szCs w:val="20"/>
              </w:rPr>
              <w:t>50</w:t>
            </w:r>
          </w:p>
        </w:tc>
        <w:tc>
          <w:tcPr>
            <w:tcW w:w="1479" w:type="dxa"/>
            <w:tcBorders>
              <w:top w:val="single" w:sz="4" w:space="0" w:color="auto"/>
              <w:left w:val="single" w:sz="4" w:space="0" w:color="auto"/>
              <w:bottom w:val="single" w:sz="4" w:space="0" w:color="auto"/>
              <w:right w:val="single" w:sz="4" w:space="0" w:color="auto"/>
            </w:tcBorders>
          </w:tcPr>
          <w:p w14:paraId="3FC49CA9" w14:textId="3DB45B66" w:rsidR="00F10BFB" w:rsidRDefault="00125F27" w:rsidP="00B07F53">
            <w:pPr>
              <w:spacing w:after="0"/>
              <w:jc w:val="right"/>
              <w:rPr>
                <w:rFonts w:ascii="Arial" w:hAnsi="Arial" w:cs="Arial"/>
                <w:b/>
                <w:color w:val="000000"/>
                <w:sz w:val="20"/>
                <w:szCs w:val="20"/>
              </w:rPr>
            </w:pPr>
            <w:r>
              <w:rPr>
                <w:rFonts w:ascii="Arial" w:hAnsi="Arial" w:cs="Arial"/>
                <w:b/>
                <w:color w:val="000000"/>
                <w:sz w:val="20"/>
                <w:szCs w:val="20"/>
              </w:rPr>
              <w:t>14</w:t>
            </w:r>
          </w:p>
        </w:tc>
      </w:tr>
      <w:tr w:rsidR="00F10BFB" w:rsidRPr="00F71263" w14:paraId="6CFE8B88" w14:textId="74BAE2C0" w:rsidTr="00B07F53">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tcPr>
          <w:p w14:paraId="06294CC4" w14:textId="77777777" w:rsidR="00F10BFB" w:rsidRPr="00F71263" w:rsidRDefault="00F10BFB" w:rsidP="00B07F53">
            <w:pPr>
              <w:spacing w:after="0"/>
              <w:rPr>
                <w:rFonts w:ascii="Arial" w:hAnsi="Arial" w:cs="Arial"/>
                <w:b/>
                <w:color w:val="000000"/>
                <w:sz w:val="20"/>
                <w:szCs w:val="20"/>
              </w:rPr>
            </w:pPr>
            <w:r w:rsidRPr="00F71263">
              <w:rPr>
                <w:rFonts w:ascii="Arial" w:hAnsi="Arial" w:cs="Arial"/>
                <w:b/>
                <w:color w:val="000000"/>
                <w:sz w:val="20"/>
                <w:szCs w:val="20"/>
              </w:rPr>
              <w:t>Performance in Percentage</w:t>
            </w:r>
          </w:p>
        </w:tc>
        <w:tc>
          <w:tcPr>
            <w:tcW w:w="1103" w:type="dxa"/>
            <w:tcBorders>
              <w:top w:val="single" w:sz="4" w:space="0" w:color="auto"/>
              <w:left w:val="nil"/>
              <w:bottom w:val="single" w:sz="4" w:space="0" w:color="auto"/>
              <w:right w:val="single" w:sz="4" w:space="0" w:color="auto"/>
            </w:tcBorders>
            <w:shd w:val="clear" w:color="auto" w:fill="auto"/>
          </w:tcPr>
          <w:p w14:paraId="7972B485" w14:textId="56329470"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80.3%</w:t>
            </w:r>
          </w:p>
        </w:tc>
        <w:tc>
          <w:tcPr>
            <w:tcW w:w="1103" w:type="dxa"/>
            <w:tcBorders>
              <w:top w:val="single" w:sz="4" w:space="0" w:color="auto"/>
              <w:left w:val="nil"/>
              <w:bottom w:val="single" w:sz="4" w:space="0" w:color="auto"/>
              <w:right w:val="single" w:sz="4" w:space="0" w:color="auto"/>
            </w:tcBorders>
          </w:tcPr>
          <w:p w14:paraId="408450CC" w14:textId="20C7770D"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19.6%</w:t>
            </w:r>
          </w:p>
        </w:tc>
        <w:tc>
          <w:tcPr>
            <w:tcW w:w="1192" w:type="dxa"/>
            <w:tcBorders>
              <w:top w:val="single" w:sz="4" w:space="0" w:color="auto"/>
              <w:left w:val="nil"/>
              <w:bottom w:val="single" w:sz="4" w:space="0" w:color="auto"/>
              <w:right w:val="single" w:sz="4" w:space="0" w:color="auto"/>
            </w:tcBorders>
          </w:tcPr>
          <w:p w14:paraId="2F1C6CF7" w14:textId="7D211112"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40.4%</w:t>
            </w:r>
          </w:p>
        </w:tc>
        <w:tc>
          <w:tcPr>
            <w:tcW w:w="1225" w:type="dxa"/>
            <w:tcBorders>
              <w:top w:val="single" w:sz="4" w:space="0" w:color="auto"/>
              <w:left w:val="nil"/>
              <w:bottom w:val="single" w:sz="4" w:space="0" w:color="auto"/>
              <w:right w:val="single" w:sz="4" w:space="0" w:color="auto"/>
            </w:tcBorders>
          </w:tcPr>
          <w:p w14:paraId="095746CD" w14:textId="68E4B1B4" w:rsidR="00F10BFB" w:rsidRPr="00F71263" w:rsidRDefault="00F10BFB" w:rsidP="00B07F53">
            <w:pPr>
              <w:spacing w:after="0"/>
              <w:jc w:val="right"/>
              <w:rPr>
                <w:rFonts w:ascii="Arial" w:hAnsi="Arial" w:cs="Arial"/>
                <w:b/>
                <w:color w:val="000000"/>
                <w:sz w:val="20"/>
                <w:szCs w:val="20"/>
              </w:rPr>
            </w:pPr>
            <w:r>
              <w:rPr>
                <w:rFonts w:ascii="Arial" w:hAnsi="Arial" w:cs="Arial"/>
                <w:b/>
                <w:color w:val="000000"/>
                <w:sz w:val="20"/>
                <w:szCs w:val="20"/>
              </w:rPr>
              <w:t>37%</w:t>
            </w:r>
          </w:p>
        </w:tc>
        <w:tc>
          <w:tcPr>
            <w:tcW w:w="1479" w:type="dxa"/>
            <w:tcBorders>
              <w:top w:val="single" w:sz="4" w:space="0" w:color="auto"/>
              <w:left w:val="single" w:sz="4" w:space="0" w:color="auto"/>
              <w:bottom w:val="single" w:sz="4" w:space="0" w:color="auto"/>
              <w:right w:val="single" w:sz="4" w:space="0" w:color="auto"/>
            </w:tcBorders>
          </w:tcPr>
          <w:p w14:paraId="708D04D0" w14:textId="6FE5B44D" w:rsidR="00F10BFB" w:rsidRPr="00F71263" w:rsidRDefault="00125F27" w:rsidP="00B07F53">
            <w:pPr>
              <w:spacing w:after="0"/>
              <w:jc w:val="right"/>
              <w:rPr>
                <w:rFonts w:ascii="Arial" w:hAnsi="Arial" w:cs="Arial"/>
                <w:b/>
                <w:color w:val="000000"/>
                <w:sz w:val="20"/>
                <w:szCs w:val="20"/>
              </w:rPr>
            </w:pPr>
            <w:r>
              <w:rPr>
                <w:rFonts w:ascii="Arial" w:hAnsi="Arial" w:cs="Arial"/>
                <w:b/>
                <w:color w:val="000000"/>
                <w:sz w:val="20"/>
                <w:szCs w:val="20"/>
              </w:rPr>
              <w:t>84.7%</w:t>
            </w:r>
          </w:p>
        </w:tc>
        <w:tc>
          <w:tcPr>
            <w:tcW w:w="1479" w:type="dxa"/>
            <w:tcBorders>
              <w:top w:val="single" w:sz="4" w:space="0" w:color="auto"/>
              <w:left w:val="single" w:sz="4" w:space="0" w:color="auto"/>
              <w:bottom w:val="single" w:sz="4" w:space="0" w:color="auto"/>
              <w:right w:val="single" w:sz="4" w:space="0" w:color="auto"/>
            </w:tcBorders>
          </w:tcPr>
          <w:p w14:paraId="4099CB0C" w14:textId="2CA10376" w:rsidR="00F10BFB" w:rsidRPr="00F71263" w:rsidRDefault="00125F27" w:rsidP="00B07F53">
            <w:pPr>
              <w:spacing w:after="0"/>
              <w:jc w:val="right"/>
              <w:rPr>
                <w:rFonts w:ascii="Arial" w:hAnsi="Arial" w:cs="Arial"/>
                <w:b/>
                <w:color w:val="000000"/>
                <w:sz w:val="20"/>
                <w:szCs w:val="20"/>
              </w:rPr>
            </w:pPr>
            <w:r>
              <w:rPr>
                <w:rFonts w:ascii="Arial" w:hAnsi="Arial" w:cs="Arial"/>
                <w:b/>
                <w:color w:val="000000"/>
                <w:sz w:val="20"/>
                <w:szCs w:val="20"/>
              </w:rPr>
              <w:t>23.7%</w:t>
            </w:r>
          </w:p>
        </w:tc>
      </w:tr>
      <w:bookmarkEnd w:id="224"/>
    </w:tbl>
    <w:p w14:paraId="27CF04D1" w14:textId="4BF88BE9" w:rsidR="00CF528B" w:rsidRDefault="00CF528B" w:rsidP="00385F9B">
      <w:pPr>
        <w:jc w:val="both"/>
        <w:rPr>
          <w:rFonts w:ascii="Arial" w:hAnsi="Arial" w:cs="Arial"/>
          <w:b/>
          <w:bCs/>
          <w:sz w:val="20"/>
          <w:szCs w:val="20"/>
        </w:rPr>
      </w:pPr>
    </w:p>
    <w:p w14:paraId="74D91E8F" w14:textId="39392BC0" w:rsidR="0010653E" w:rsidRDefault="0010653E" w:rsidP="00352BC5">
      <w:pPr>
        <w:spacing w:after="0" w:line="240" w:lineRule="auto"/>
        <w:jc w:val="both"/>
        <w:rPr>
          <w:rFonts w:ascii="Times New Roman" w:hAnsi="Times New Roman"/>
          <w:sz w:val="20"/>
          <w:szCs w:val="20"/>
        </w:rPr>
      </w:pPr>
    </w:p>
    <w:p w14:paraId="615033A6" w14:textId="146142D5" w:rsidR="00AF2CC4" w:rsidRDefault="00AF2CC4" w:rsidP="00352BC5">
      <w:pPr>
        <w:spacing w:after="0" w:line="240" w:lineRule="auto"/>
        <w:jc w:val="both"/>
        <w:rPr>
          <w:rFonts w:ascii="Times New Roman" w:hAnsi="Times New Roman"/>
          <w:sz w:val="20"/>
          <w:szCs w:val="20"/>
        </w:rPr>
      </w:pPr>
    </w:p>
    <w:p w14:paraId="14056C76" w14:textId="77777777" w:rsidR="00AF2CC4" w:rsidRPr="00352BC5" w:rsidRDefault="00AF2CC4" w:rsidP="00352BC5">
      <w:pPr>
        <w:spacing w:after="0" w:line="240" w:lineRule="auto"/>
        <w:jc w:val="both"/>
        <w:rPr>
          <w:rFonts w:ascii="Times New Roman" w:hAnsi="Times New Roman"/>
          <w:sz w:val="20"/>
          <w:szCs w:val="20"/>
        </w:rPr>
      </w:pPr>
    </w:p>
    <w:tbl>
      <w:tblPr>
        <w:tblStyle w:val="TableGrid"/>
        <w:tblW w:w="0" w:type="auto"/>
        <w:tblLook w:val="04A0" w:firstRow="1" w:lastRow="0" w:firstColumn="1" w:lastColumn="0" w:noHBand="0" w:noVBand="1"/>
      </w:tblPr>
      <w:tblGrid>
        <w:gridCol w:w="3319"/>
        <w:gridCol w:w="3218"/>
        <w:gridCol w:w="2479"/>
      </w:tblGrid>
      <w:tr w:rsidR="008F5797" w14:paraId="405E8D82" w14:textId="6CA1BDA4" w:rsidTr="008F5797">
        <w:tc>
          <w:tcPr>
            <w:tcW w:w="3319" w:type="dxa"/>
            <w:shd w:val="clear" w:color="auto" w:fill="00B050"/>
          </w:tcPr>
          <w:p w14:paraId="14184A43" w14:textId="6B1AFF28" w:rsidR="008F5797" w:rsidRDefault="008F5797" w:rsidP="00385F9B">
            <w:pPr>
              <w:jc w:val="both"/>
              <w:rPr>
                <w:rFonts w:ascii="Arial" w:hAnsi="Arial" w:cs="Arial"/>
                <w:b/>
                <w:bCs/>
                <w:sz w:val="20"/>
                <w:szCs w:val="20"/>
              </w:rPr>
            </w:pPr>
            <w:r>
              <w:rPr>
                <w:rFonts w:ascii="Arial" w:hAnsi="Arial" w:cs="Arial"/>
                <w:b/>
                <w:bCs/>
                <w:sz w:val="20"/>
                <w:szCs w:val="20"/>
              </w:rPr>
              <w:t>DEPARTMENT</w:t>
            </w:r>
          </w:p>
        </w:tc>
        <w:tc>
          <w:tcPr>
            <w:tcW w:w="3218" w:type="dxa"/>
            <w:shd w:val="clear" w:color="auto" w:fill="00B050"/>
          </w:tcPr>
          <w:p w14:paraId="02E5AE5B" w14:textId="1177AE8C" w:rsidR="008F5797" w:rsidRDefault="008F5797" w:rsidP="00385F9B">
            <w:pPr>
              <w:jc w:val="both"/>
              <w:rPr>
                <w:rFonts w:ascii="Arial" w:hAnsi="Arial" w:cs="Arial"/>
                <w:b/>
                <w:bCs/>
                <w:sz w:val="20"/>
                <w:szCs w:val="20"/>
              </w:rPr>
            </w:pPr>
            <w:r>
              <w:rPr>
                <w:rFonts w:ascii="Arial" w:hAnsi="Arial" w:cs="Arial"/>
                <w:b/>
                <w:bCs/>
                <w:sz w:val="20"/>
                <w:szCs w:val="20"/>
              </w:rPr>
              <w:t>% PERFORMANCE FOR Q2 OF 2020/21</w:t>
            </w:r>
          </w:p>
        </w:tc>
        <w:tc>
          <w:tcPr>
            <w:tcW w:w="2479" w:type="dxa"/>
            <w:shd w:val="clear" w:color="auto" w:fill="00B050"/>
          </w:tcPr>
          <w:p w14:paraId="13F53D02" w14:textId="08651BA1" w:rsidR="008F5797" w:rsidRDefault="008F5797" w:rsidP="00385F9B">
            <w:pPr>
              <w:jc w:val="both"/>
              <w:rPr>
                <w:rFonts w:ascii="Arial" w:hAnsi="Arial" w:cs="Arial"/>
                <w:b/>
                <w:bCs/>
                <w:sz w:val="20"/>
                <w:szCs w:val="20"/>
              </w:rPr>
            </w:pPr>
            <w:r>
              <w:rPr>
                <w:rFonts w:ascii="Arial" w:hAnsi="Arial" w:cs="Arial"/>
                <w:b/>
                <w:bCs/>
                <w:sz w:val="20"/>
                <w:szCs w:val="20"/>
              </w:rPr>
              <w:t>% OF PERFORMANCE AS AT MID-YEAR OF 2020/21</w:t>
            </w:r>
          </w:p>
        </w:tc>
      </w:tr>
      <w:tr w:rsidR="008F5797" w14:paraId="650E8D35" w14:textId="4232417B" w:rsidTr="008F5797">
        <w:tc>
          <w:tcPr>
            <w:tcW w:w="3319" w:type="dxa"/>
          </w:tcPr>
          <w:p w14:paraId="066793C4" w14:textId="0436CAA4" w:rsidR="008F5797" w:rsidRPr="008F5797" w:rsidRDefault="008F5797" w:rsidP="00385F9B">
            <w:pPr>
              <w:jc w:val="both"/>
              <w:rPr>
                <w:rFonts w:ascii="Arial" w:hAnsi="Arial" w:cs="Arial"/>
                <w:bCs/>
                <w:sz w:val="20"/>
                <w:szCs w:val="20"/>
              </w:rPr>
            </w:pPr>
            <w:r w:rsidRPr="008F5797">
              <w:rPr>
                <w:rFonts w:ascii="Arial" w:hAnsi="Arial" w:cs="Arial"/>
                <w:bCs/>
                <w:sz w:val="20"/>
                <w:szCs w:val="20"/>
              </w:rPr>
              <w:t>OFFICE OF THE MUNIIPAL MANAGER</w:t>
            </w:r>
          </w:p>
        </w:tc>
        <w:tc>
          <w:tcPr>
            <w:tcW w:w="3218" w:type="dxa"/>
          </w:tcPr>
          <w:p w14:paraId="4E9C8105" w14:textId="327E78E5" w:rsidR="008F5797" w:rsidRDefault="00245066" w:rsidP="00385F9B">
            <w:pPr>
              <w:jc w:val="both"/>
              <w:rPr>
                <w:rFonts w:ascii="Arial" w:hAnsi="Arial" w:cs="Arial"/>
                <w:b/>
                <w:bCs/>
                <w:sz w:val="20"/>
                <w:szCs w:val="20"/>
              </w:rPr>
            </w:pPr>
            <w:r>
              <w:rPr>
                <w:rFonts w:ascii="Arial" w:hAnsi="Arial" w:cs="Arial"/>
                <w:b/>
                <w:bCs/>
                <w:sz w:val="20"/>
                <w:szCs w:val="20"/>
              </w:rPr>
              <w:t>88.2%</w:t>
            </w:r>
          </w:p>
        </w:tc>
        <w:tc>
          <w:tcPr>
            <w:tcW w:w="2479" w:type="dxa"/>
          </w:tcPr>
          <w:p w14:paraId="1D06D7AA" w14:textId="3865710B" w:rsidR="008F5797" w:rsidRDefault="00245066" w:rsidP="00385F9B">
            <w:pPr>
              <w:jc w:val="both"/>
              <w:rPr>
                <w:rFonts w:ascii="Arial" w:hAnsi="Arial" w:cs="Arial"/>
                <w:b/>
                <w:bCs/>
                <w:sz w:val="20"/>
                <w:szCs w:val="20"/>
              </w:rPr>
            </w:pPr>
            <w:r>
              <w:rPr>
                <w:rFonts w:ascii="Arial" w:hAnsi="Arial" w:cs="Arial"/>
                <w:b/>
                <w:bCs/>
                <w:sz w:val="20"/>
                <w:szCs w:val="20"/>
              </w:rPr>
              <w:t>80%</w:t>
            </w:r>
          </w:p>
        </w:tc>
      </w:tr>
      <w:tr w:rsidR="008F5797" w14:paraId="295B1A11" w14:textId="2A8C4F47" w:rsidTr="008F5797">
        <w:tc>
          <w:tcPr>
            <w:tcW w:w="3319" w:type="dxa"/>
          </w:tcPr>
          <w:p w14:paraId="7A4C15C6" w14:textId="5DE784C2" w:rsidR="008F5797" w:rsidRPr="008F5797" w:rsidRDefault="008F5797" w:rsidP="00385F9B">
            <w:pPr>
              <w:jc w:val="both"/>
              <w:rPr>
                <w:rFonts w:ascii="Arial" w:hAnsi="Arial" w:cs="Arial"/>
                <w:bCs/>
                <w:sz w:val="20"/>
                <w:szCs w:val="20"/>
              </w:rPr>
            </w:pPr>
            <w:r w:rsidRPr="008F5797">
              <w:rPr>
                <w:rFonts w:ascii="Arial" w:hAnsi="Arial" w:cs="Arial"/>
                <w:bCs/>
                <w:sz w:val="20"/>
                <w:szCs w:val="20"/>
              </w:rPr>
              <w:t>COMMUNITY AND SOCIAL SERVICES</w:t>
            </w:r>
          </w:p>
        </w:tc>
        <w:tc>
          <w:tcPr>
            <w:tcW w:w="3218" w:type="dxa"/>
          </w:tcPr>
          <w:p w14:paraId="53EC3FDE" w14:textId="19FF9FBF" w:rsidR="008F5797" w:rsidRDefault="00AA4ED0" w:rsidP="00385F9B">
            <w:pPr>
              <w:jc w:val="both"/>
              <w:rPr>
                <w:rFonts w:ascii="Arial" w:hAnsi="Arial" w:cs="Arial"/>
                <w:b/>
                <w:bCs/>
                <w:sz w:val="20"/>
                <w:szCs w:val="20"/>
              </w:rPr>
            </w:pPr>
            <w:r>
              <w:rPr>
                <w:rFonts w:ascii="Arial" w:hAnsi="Arial" w:cs="Arial"/>
                <w:b/>
                <w:bCs/>
                <w:sz w:val="20"/>
                <w:szCs w:val="20"/>
              </w:rPr>
              <w:t>80</w:t>
            </w:r>
            <w:r w:rsidR="00245066">
              <w:rPr>
                <w:rFonts w:ascii="Arial" w:hAnsi="Arial" w:cs="Arial"/>
                <w:b/>
                <w:bCs/>
                <w:sz w:val="20"/>
                <w:szCs w:val="20"/>
              </w:rPr>
              <w:t>%</w:t>
            </w:r>
          </w:p>
        </w:tc>
        <w:tc>
          <w:tcPr>
            <w:tcW w:w="2479" w:type="dxa"/>
          </w:tcPr>
          <w:p w14:paraId="63CA2B4F" w14:textId="0756FD5A" w:rsidR="008F5797" w:rsidRDefault="00AA4ED0" w:rsidP="00385F9B">
            <w:pPr>
              <w:jc w:val="both"/>
              <w:rPr>
                <w:rFonts w:ascii="Arial" w:hAnsi="Arial" w:cs="Arial"/>
                <w:b/>
                <w:bCs/>
                <w:sz w:val="20"/>
                <w:szCs w:val="20"/>
              </w:rPr>
            </w:pPr>
            <w:r>
              <w:rPr>
                <w:rFonts w:ascii="Arial" w:hAnsi="Arial" w:cs="Arial"/>
                <w:b/>
                <w:bCs/>
                <w:sz w:val="20"/>
                <w:szCs w:val="20"/>
              </w:rPr>
              <w:t>73.6</w:t>
            </w:r>
            <w:r w:rsidR="00245066">
              <w:rPr>
                <w:rFonts w:ascii="Arial" w:hAnsi="Arial" w:cs="Arial"/>
                <w:b/>
                <w:bCs/>
                <w:sz w:val="20"/>
                <w:szCs w:val="20"/>
              </w:rPr>
              <w:t>%</w:t>
            </w:r>
          </w:p>
        </w:tc>
      </w:tr>
      <w:tr w:rsidR="008F5797" w14:paraId="0DEBAD8D" w14:textId="5DEC71B4" w:rsidTr="008F5797">
        <w:tc>
          <w:tcPr>
            <w:tcW w:w="3319" w:type="dxa"/>
          </w:tcPr>
          <w:p w14:paraId="2703BFAA" w14:textId="4788F04D" w:rsidR="008F5797" w:rsidRPr="008F5797" w:rsidRDefault="008F5797" w:rsidP="00385F9B">
            <w:pPr>
              <w:jc w:val="both"/>
              <w:rPr>
                <w:rFonts w:ascii="Arial" w:hAnsi="Arial" w:cs="Arial"/>
                <w:bCs/>
                <w:sz w:val="20"/>
                <w:szCs w:val="20"/>
              </w:rPr>
            </w:pPr>
            <w:r w:rsidRPr="008F5797">
              <w:rPr>
                <w:rFonts w:ascii="Arial" w:hAnsi="Arial" w:cs="Arial"/>
                <w:bCs/>
                <w:sz w:val="20"/>
                <w:szCs w:val="20"/>
              </w:rPr>
              <w:t>CORPORATE SUPPORT SERVICES</w:t>
            </w:r>
          </w:p>
        </w:tc>
        <w:tc>
          <w:tcPr>
            <w:tcW w:w="3218" w:type="dxa"/>
          </w:tcPr>
          <w:p w14:paraId="55DCAD28" w14:textId="2DDC9640" w:rsidR="008F5797" w:rsidRDefault="00AA4ED0" w:rsidP="00385F9B">
            <w:pPr>
              <w:jc w:val="both"/>
              <w:rPr>
                <w:rFonts w:ascii="Arial" w:hAnsi="Arial" w:cs="Arial"/>
                <w:b/>
                <w:bCs/>
                <w:sz w:val="20"/>
                <w:szCs w:val="20"/>
              </w:rPr>
            </w:pPr>
            <w:r>
              <w:rPr>
                <w:rFonts w:ascii="Arial" w:hAnsi="Arial" w:cs="Arial"/>
                <w:b/>
                <w:bCs/>
                <w:sz w:val="20"/>
                <w:szCs w:val="20"/>
              </w:rPr>
              <w:t>66.6</w:t>
            </w:r>
            <w:r w:rsidR="00245066">
              <w:rPr>
                <w:rFonts w:ascii="Arial" w:hAnsi="Arial" w:cs="Arial"/>
                <w:b/>
                <w:bCs/>
                <w:sz w:val="20"/>
                <w:szCs w:val="20"/>
              </w:rPr>
              <w:t>%</w:t>
            </w:r>
          </w:p>
        </w:tc>
        <w:tc>
          <w:tcPr>
            <w:tcW w:w="2479" w:type="dxa"/>
          </w:tcPr>
          <w:p w14:paraId="52D2F7D5" w14:textId="4249BFF7" w:rsidR="008F5797" w:rsidRDefault="00AA4ED0" w:rsidP="00385F9B">
            <w:pPr>
              <w:jc w:val="both"/>
              <w:rPr>
                <w:rFonts w:ascii="Arial" w:hAnsi="Arial" w:cs="Arial"/>
                <w:b/>
                <w:bCs/>
                <w:sz w:val="20"/>
                <w:szCs w:val="20"/>
              </w:rPr>
            </w:pPr>
            <w:r>
              <w:rPr>
                <w:rFonts w:ascii="Arial" w:hAnsi="Arial" w:cs="Arial"/>
                <w:b/>
                <w:bCs/>
                <w:sz w:val="20"/>
                <w:szCs w:val="20"/>
              </w:rPr>
              <w:t>88.8</w:t>
            </w:r>
            <w:r w:rsidR="00245066">
              <w:rPr>
                <w:rFonts w:ascii="Arial" w:hAnsi="Arial" w:cs="Arial"/>
                <w:b/>
                <w:bCs/>
                <w:sz w:val="20"/>
                <w:szCs w:val="20"/>
              </w:rPr>
              <w:t>%</w:t>
            </w:r>
          </w:p>
        </w:tc>
        <w:bookmarkStart w:id="225" w:name="_GoBack"/>
        <w:bookmarkEnd w:id="225"/>
      </w:tr>
      <w:tr w:rsidR="008F5797" w14:paraId="3B72F01D" w14:textId="027A805F" w:rsidTr="008F5797">
        <w:tc>
          <w:tcPr>
            <w:tcW w:w="3319" w:type="dxa"/>
          </w:tcPr>
          <w:p w14:paraId="256DC1C8" w14:textId="4084783A" w:rsidR="008F5797" w:rsidRPr="008F5797" w:rsidRDefault="008F5797" w:rsidP="00385F9B">
            <w:pPr>
              <w:jc w:val="both"/>
              <w:rPr>
                <w:rFonts w:ascii="Arial" w:hAnsi="Arial" w:cs="Arial"/>
                <w:bCs/>
                <w:sz w:val="20"/>
                <w:szCs w:val="20"/>
              </w:rPr>
            </w:pPr>
            <w:r w:rsidRPr="008F5797">
              <w:rPr>
                <w:rFonts w:ascii="Arial" w:hAnsi="Arial" w:cs="Arial"/>
                <w:bCs/>
                <w:sz w:val="20"/>
                <w:szCs w:val="20"/>
              </w:rPr>
              <w:t>PUBLIC WORKS AND BASIC SERVICES</w:t>
            </w:r>
          </w:p>
        </w:tc>
        <w:tc>
          <w:tcPr>
            <w:tcW w:w="3218" w:type="dxa"/>
          </w:tcPr>
          <w:p w14:paraId="7EAFDB09" w14:textId="29A1F624" w:rsidR="008F5797" w:rsidRDefault="00245066" w:rsidP="00385F9B">
            <w:pPr>
              <w:jc w:val="both"/>
              <w:rPr>
                <w:rFonts w:ascii="Arial" w:hAnsi="Arial" w:cs="Arial"/>
                <w:b/>
                <w:bCs/>
                <w:sz w:val="20"/>
                <w:szCs w:val="20"/>
              </w:rPr>
            </w:pPr>
            <w:r>
              <w:rPr>
                <w:rFonts w:ascii="Arial" w:hAnsi="Arial" w:cs="Arial"/>
                <w:b/>
                <w:bCs/>
                <w:sz w:val="20"/>
                <w:szCs w:val="20"/>
              </w:rPr>
              <w:t>72.7%</w:t>
            </w:r>
          </w:p>
        </w:tc>
        <w:tc>
          <w:tcPr>
            <w:tcW w:w="2479" w:type="dxa"/>
          </w:tcPr>
          <w:p w14:paraId="309B75C2" w14:textId="378B36E3" w:rsidR="008F5797" w:rsidRDefault="00245066" w:rsidP="00385F9B">
            <w:pPr>
              <w:jc w:val="both"/>
              <w:rPr>
                <w:rFonts w:ascii="Arial" w:hAnsi="Arial" w:cs="Arial"/>
                <w:b/>
                <w:bCs/>
                <w:sz w:val="20"/>
                <w:szCs w:val="20"/>
              </w:rPr>
            </w:pPr>
            <w:r>
              <w:rPr>
                <w:rFonts w:ascii="Arial" w:hAnsi="Arial" w:cs="Arial"/>
                <w:b/>
                <w:bCs/>
                <w:sz w:val="20"/>
                <w:szCs w:val="20"/>
              </w:rPr>
              <w:t>72.7%</w:t>
            </w:r>
          </w:p>
        </w:tc>
      </w:tr>
      <w:tr w:rsidR="008F5797" w14:paraId="4B73AC89" w14:textId="570164A0" w:rsidTr="008F5797">
        <w:tc>
          <w:tcPr>
            <w:tcW w:w="3319" w:type="dxa"/>
          </w:tcPr>
          <w:p w14:paraId="43726E83" w14:textId="72D2EE7B" w:rsidR="008F5797" w:rsidRPr="008F5797" w:rsidRDefault="008F5797" w:rsidP="00385F9B">
            <w:pPr>
              <w:jc w:val="both"/>
              <w:rPr>
                <w:rFonts w:ascii="Arial" w:hAnsi="Arial" w:cs="Arial"/>
                <w:bCs/>
                <w:sz w:val="20"/>
                <w:szCs w:val="20"/>
              </w:rPr>
            </w:pPr>
            <w:r w:rsidRPr="008F5797">
              <w:rPr>
                <w:rFonts w:ascii="Arial" w:hAnsi="Arial" w:cs="Arial"/>
                <w:bCs/>
                <w:sz w:val="20"/>
                <w:szCs w:val="20"/>
              </w:rPr>
              <w:t>BUDGET AND TREASURY OFFICE</w:t>
            </w:r>
          </w:p>
        </w:tc>
        <w:tc>
          <w:tcPr>
            <w:tcW w:w="3218" w:type="dxa"/>
          </w:tcPr>
          <w:p w14:paraId="18067999" w14:textId="1A464D53" w:rsidR="008F5797" w:rsidRDefault="00911D2E" w:rsidP="00385F9B">
            <w:pPr>
              <w:jc w:val="both"/>
              <w:rPr>
                <w:rFonts w:ascii="Arial" w:hAnsi="Arial" w:cs="Arial"/>
                <w:b/>
                <w:bCs/>
                <w:sz w:val="20"/>
                <w:szCs w:val="20"/>
              </w:rPr>
            </w:pPr>
            <w:r>
              <w:rPr>
                <w:rFonts w:ascii="Arial" w:hAnsi="Arial" w:cs="Arial"/>
                <w:b/>
                <w:bCs/>
                <w:sz w:val="20"/>
                <w:szCs w:val="20"/>
              </w:rPr>
              <w:t>100%</w:t>
            </w:r>
          </w:p>
        </w:tc>
        <w:tc>
          <w:tcPr>
            <w:tcW w:w="2479" w:type="dxa"/>
          </w:tcPr>
          <w:p w14:paraId="6B7E341A" w14:textId="09243210" w:rsidR="008F5797" w:rsidRDefault="00911D2E" w:rsidP="00385F9B">
            <w:pPr>
              <w:jc w:val="both"/>
              <w:rPr>
                <w:rFonts w:ascii="Arial" w:hAnsi="Arial" w:cs="Arial"/>
                <w:b/>
                <w:bCs/>
                <w:sz w:val="20"/>
                <w:szCs w:val="20"/>
              </w:rPr>
            </w:pPr>
            <w:r>
              <w:rPr>
                <w:rFonts w:ascii="Arial" w:hAnsi="Arial" w:cs="Arial"/>
                <w:b/>
                <w:bCs/>
                <w:sz w:val="20"/>
                <w:szCs w:val="20"/>
              </w:rPr>
              <w:t>100%</w:t>
            </w:r>
          </w:p>
        </w:tc>
      </w:tr>
      <w:tr w:rsidR="008F5797" w14:paraId="5C75DEB9" w14:textId="63A1AB73" w:rsidTr="00245066">
        <w:tc>
          <w:tcPr>
            <w:tcW w:w="3319" w:type="dxa"/>
            <w:shd w:val="clear" w:color="auto" w:fill="7030A0"/>
          </w:tcPr>
          <w:p w14:paraId="2FAEE853" w14:textId="5A576DB7" w:rsidR="008F5797" w:rsidRPr="008F5797" w:rsidRDefault="008F5797" w:rsidP="00385F9B">
            <w:pPr>
              <w:jc w:val="both"/>
              <w:rPr>
                <w:rFonts w:ascii="Arial" w:hAnsi="Arial" w:cs="Arial"/>
                <w:bCs/>
                <w:sz w:val="20"/>
                <w:szCs w:val="20"/>
              </w:rPr>
            </w:pPr>
            <w:r w:rsidRPr="008F5797">
              <w:rPr>
                <w:rFonts w:ascii="Arial" w:hAnsi="Arial" w:cs="Arial"/>
                <w:bCs/>
                <w:sz w:val="20"/>
                <w:szCs w:val="20"/>
              </w:rPr>
              <w:t>ORGANISATIONAL OVERALL PERFORMANCE</w:t>
            </w:r>
          </w:p>
        </w:tc>
        <w:tc>
          <w:tcPr>
            <w:tcW w:w="3218" w:type="dxa"/>
            <w:shd w:val="clear" w:color="auto" w:fill="7030A0"/>
          </w:tcPr>
          <w:p w14:paraId="641388D9" w14:textId="3477797E" w:rsidR="008F5797" w:rsidRDefault="00B07F53" w:rsidP="00385F9B">
            <w:pPr>
              <w:jc w:val="both"/>
              <w:rPr>
                <w:rFonts w:ascii="Arial" w:hAnsi="Arial" w:cs="Arial"/>
                <w:b/>
                <w:bCs/>
                <w:sz w:val="20"/>
                <w:szCs w:val="20"/>
              </w:rPr>
            </w:pPr>
            <w:r>
              <w:rPr>
                <w:rFonts w:ascii="Arial" w:hAnsi="Arial" w:cs="Arial"/>
                <w:b/>
                <w:bCs/>
                <w:sz w:val="20"/>
                <w:szCs w:val="20"/>
              </w:rPr>
              <w:t>80.3</w:t>
            </w:r>
            <w:r w:rsidR="00D81C3F">
              <w:rPr>
                <w:rFonts w:ascii="Arial" w:hAnsi="Arial" w:cs="Arial"/>
                <w:b/>
                <w:bCs/>
                <w:sz w:val="20"/>
                <w:szCs w:val="20"/>
              </w:rPr>
              <w:t>%</w:t>
            </w:r>
          </w:p>
        </w:tc>
        <w:tc>
          <w:tcPr>
            <w:tcW w:w="2479" w:type="dxa"/>
            <w:shd w:val="clear" w:color="auto" w:fill="7030A0"/>
          </w:tcPr>
          <w:p w14:paraId="4C3B4B18" w14:textId="69CBBCBA" w:rsidR="008F5797" w:rsidRDefault="00B07F53" w:rsidP="00385F9B">
            <w:pPr>
              <w:jc w:val="both"/>
              <w:rPr>
                <w:rFonts w:ascii="Arial" w:hAnsi="Arial" w:cs="Arial"/>
                <w:b/>
                <w:bCs/>
                <w:sz w:val="20"/>
                <w:szCs w:val="20"/>
              </w:rPr>
            </w:pPr>
            <w:r>
              <w:rPr>
                <w:rFonts w:ascii="Arial" w:hAnsi="Arial" w:cs="Arial"/>
                <w:b/>
                <w:bCs/>
                <w:sz w:val="20"/>
                <w:szCs w:val="20"/>
              </w:rPr>
              <w:t>84.7</w:t>
            </w:r>
            <w:r w:rsidR="00D81C3F">
              <w:rPr>
                <w:rFonts w:ascii="Arial" w:hAnsi="Arial" w:cs="Arial"/>
                <w:b/>
                <w:bCs/>
                <w:sz w:val="20"/>
                <w:szCs w:val="20"/>
              </w:rPr>
              <w:t>%</w:t>
            </w:r>
          </w:p>
        </w:tc>
      </w:tr>
    </w:tbl>
    <w:p w14:paraId="036674B3" w14:textId="6B519DEE" w:rsidR="00CF528B" w:rsidRDefault="00CF528B" w:rsidP="00385F9B">
      <w:pPr>
        <w:jc w:val="both"/>
        <w:rPr>
          <w:rFonts w:ascii="Arial" w:hAnsi="Arial" w:cs="Arial"/>
          <w:b/>
          <w:bCs/>
          <w:sz w:val="20"/>
          <w:szCs w:val="20"/>
        </w:rPr>
      </w:pPr>
    </w:p>
    <w:p w14:paraId="35249ED6" w14:textId="1A852DD8" w:rsidR="00634E96" w:rsidRDefault="00634E96" w:rsidP="00385F9B">
      <w:pPr>
        <w:jc w:val="both"/>
        <w:rPr>
          <w:rFonts w:ascii="Arial" w:hAnsi="Arial" w:cs="Arial"/>
          <w:b/>
          <w:bCs/>
          <w:sz w:val="20"/>
          <w:szCs w:val="20"/>
        </w:rPr>
      </w:pPr>
    </w:p>
    <w:p w14:paraId="023C6C39" w14:textId="21760F21" w:rsidR="00634E96" w:rsidRDefault="00634E96" w:rsidP="00385F9B">
      <w:pPr>
        <w:jc w:val="both"/>
        <w:rPr>
          <w:rFonts w:ascii="Arial" w:hAnsi="Arial" w:cs="Arial"/>
          <w:b/>
          <w:bCs/>
          <w:sz w:val="20"/>
          <w:szCs w:val="20"/>
        </w:rPr>
      </w:pPr>
    </w:p>
    <w:p w14:paraId="492F2D98" w14:textId="4B64CE5F" w:rsidR="00634E96" w:rsidRDefault="00634E96" w:rsidP="00385F9B">
      <w:pPr>
        <w:jc w:val="both"/>
        <w:rPr>
          <w:rFonts w:ascii="Arial" w:hAnsi="Arial" w:cs="Arial"/>
          <w:b/>
          <w:bCs/>
          <w:sz w:val="20"/>
          <w:szCs w:val="20"/>
        </w:rPr>
      </w:pPr>
    </w:p>
    <w:p w14:paraId="754E0274" w14:textId="26198553" w:rsidR="00634E96" w:rsidRDefault="00307538" w:rsidP="00385F9B">
      <w:pPr>
        <w:jc w:val="both"/>
        <w:rPr>
          <w:rFonts w:ascii="Arial" w:hAnsi="Arial" w:cs="Arial"/>
          <w:b/>
          <w:bCs/>
          <w:sz w:val="20"/>
          <w:szCs w:val="20"/>
        </w:rPr>
      </w:pPr>
      <w:r>
        <w:rPr>
          <w:noProof/>
          <w:lang w:val="en-US" w:eastAsia="en-US"/>
        </w:rPr>
        <w:lastRenderedPageBreak/>
        <w:drawing>
          <wp:inline distT="0" distB="0" distL="0" distR="0" wp14:anchorId="3C1C9945" wp14:editId="2DAC9E19">
            <wp:extent cx="4910138" cy="3781425"/>
            <wp:effectExtent l="0" t="0" r="508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70BB52" w14:textId="10A1D9B8" w:rsidR="00634E96" w:rsidRDefault="00634E96" w:rsidP="00385F9B">
      <w:pPr>
        <w:jc w:val="both"/>
        <w:rPr>
          <w:rFonts w:ascii="Arial" w:hAnsi="Arial" w:cs="Arial"/>
          <w:b/>
          <w:bCs/>
          <w:sz w:val="20"/>
          <w:szCs w:val="20"/>
        </w:rPr>
      </w:pPr>
    </w:p>
    <w:p w14:paraId="2C2A1F5E" w14:textId="182132FC" w:rsidR="00634E96" w:rsidRDefault="00634E96" w:rsidP="00385F9B">
      <w:pPr>
        <w:jc w:val="both"/>
        <w:rPr>
          <w:rFonts w:ascii="Arial" w:hAnsi="Arial" w:cs="Arial"/>
          <w:b/>
          <w:bCs/>
          <w:sz w:val="20"/>
          <w:szCs w:val="20"/>
        </w:rPr>
      </w:pPr>
    </w:p>
    <w:p w14:paraId="4CAD9C14" w14:textId="57D4A7F9" w:rsidR="00634E96" w:rsidRDefault="00634E96" w:rsidP="00385F9B">
      <w:pPr>
        <w:jc w:val="both"/>
        <w:rPr>
          <w:rFonts w:ascii="Arial" w:hAnsi="Arial" w:cs="Arial"/>
          <w:b/>
          <w:bCs/>
          <w:sz w:val="20"/>
          <w:szCs w:val="20"/>
        </w:rPr>
      </w:pPr>
    </w:p>
    <w:p w14:paraId="143CDAB2" w14:textId="0D1B54C3" w:rsidR="00634E96" w:rsidRDefault="00634E96" w:rsidP="00385F9B">
      <w:pPr>
        <w:jc w:val="both"/>
        <w:rPr>
          <w:rFonts w:ascii="Arial" w:hAnsi="Arial" w:cs="Arial"/>
          <w:b/>
          <w:bCs/>
          <w:sz w:val="20"/>
          <w:szCs w:val="20"/>
        </w:rPr>
      </w:pPr>
    </w:p>
    <w:p w14:paraId="6C8F782E" w14:textId="38B192E2" w:rsidR="00634E96" w:rsidRDefault="00634E96" w:rsidP="00385F9B">
      <w:pPr>
        <w:jc w:val="both"/>
        <w:rPr>
          <w:rFonts w:ascii="Arial" w:hAnsi="Arial" w:cs="Arial"/>
          <w:b/>
          <w:bCs/>
          <w:sz w:val="20"/>
          <w:szCs w:val="20"/>
        </w:rPr>
      </w:pPr>
    </w:p>
    <w:p w14:paraId="0F5CC04C" w14:textId="4118DCF6" w:rsidR="00634E96" w:rsidRDefault="00634E96" w:rsidP="00385F9B">
      <w:pPr>
        <w:jc w:val="both"/>
        <w:rPr>
          <w:rFonts w:ascii="Arial" w:hAnsi="Arial" w:cs="Arial"/>
          <w:b/>
          <w:bCs/>
          <w:sz w:val="20"/>
          <w:szCs w:val="20"/>
        </w:rPr>
      </w:pPr>
    </w:p>
    <w:p w14:paraId="71E1AFCB" w14:textId="70AFB3DD" w:rsidR="00634E96" w:rsidRDefault="00634E96" w:rsidP="00385F9B">
      <w:pPr>
        <w:jc w:val="both"/>
        <w:rPr>
          <w:rFonts w:ascii="Arial" w:hAnsi="Arial" w:cs="Arial"/>
          <w:b/>
          <w:bCs/>
          <w:sz w:val="20"/>
          <w:szCs w:val="20"/>
        </w:rPr>
      </w:pPr>
    </w:p>
    <w:p w14:paraId="1F941348" w14:textId="1532C330" w:rsidR="00634E96" w:rsidRDefault="00634E96" w:rsidP="00385F9B">
      <w:pPr>
        <w:jc w:val="both"/>
        <w:rPr>
          <w:rFonts w:ascii="Arial" w:hAnsi="Arial" w:cs="Arial"/>
          <w:b/>
          <w:bCs/>
          <w:sz w:val="20"/>
          <w:szCs w:val="20"/>
        </w:rPr>
      </w:pPr>
    </w:p>
    <w:p w14:paraId="5776D59D" w14:textId="77777777" w:rsidR="00634E96" w:rsidRDefault="00634E96" w:rsidP="00385F9B">
      <w:pPr>
        <w:jc w:val="both"/>
        <w:rPr>
          <w:rFonts w:ascii="Arial" w:hAnsi="Arial" w:cs="Arial"/>
          <w:b/>
          <w:bCs/>
          <w:sz w:val="20"/>
          <w:szCs w:val="20"/>
        </w:rPr>
      </w:pPr>
    </w:p>
    <w:p w14:paraId="2800EFC1" w14:textId="77777777" w:rsidR="00634E96" w:rsidRDefault="00634E96" w:rsidP="00385F9B">
      <w:pPr>
        <w:jc w:val="both"/>
        <w:rPr>
          <w:rFonts w:ascii="Arial" w:hAnsi="Arial" w:cs="Arial"/>
          <w:b/>
          <w:bCs/>
          <w:sz w:val="20"/>
          <w:szCs w:val="20"/>
        </w:rPr>
        <w:sectPr w:rsidR="00634E96" w:rsidSect="00634E96">
          <w:pgSz w:w="11906" w:h="16838"/>
          <w:pgMar w:top="1440" w:right="1440" w:bottom="1440" w:left="1440" w:header="706" w:footer="706" w:gutter="0"/>
          <w:cols w:space="708"/>
          <w:docGrid w:linePitch="360"/>
        </w:sectPr>
      </w:pPr>
    </w:p>
    <w:p w14:paraId="6168C3DC" w14:textId="2806CD5B" w:rsidR="00CF528B" w:rsidRDefault="00B14A09" w:rsidP="00385F9B">
      <w:pPr>
        <w:jc w:val="both"/>
        <w:rPr>
          <w:rFonts w:ascii="Arial" w:hAnsi="Arial" w:cs="Arial"/>
          <w:b/>
          <w:bCs/>
          <w:sz w:val="20"/>
          <w:szCs w:val="20"/>
        </w:rPr>
      </w:pPr>
      <w:r>
        <w:rPr>
          <w:rFonts w:ascii="Arial" w:hAnsi="Arial" w:cs="Arial"/>
          <w:b/>
          <w:bCs/>
          <w:sz w:val="20"/>
          <w:szCs w:val="20"/>
        </w:rPr>
        <w:lastRenderedPageBreak/>
        <w:t>COMPARISON BETWEEN 2019/20 MID-YEAR PERFORMANCE REPORT &amp; 2020/21 MID-YEAR PERFORMANCE REPORT</w:t>
      </w:r>
    </w:p>
    <w:tbl>
      <w:tblPr>
        <w:tblpPr w:leftFromText="180" w:rightFromText="180" w:bottomFromText="160" w:vertAnchor="text" w:horzAnchor="margin" w:tblpXSpec="center" w:tblpY="412"/>
        <w:tblW w:w="14755" w:type="dxa"/>
        <w:tblLayout w:type="fixed"/>
        <w:tblLook w:val="04A0" w:firstRow="1" w:lastRow="0" w:firstColumn="1" w:lastColumn="0" w:noHBand="0" w:noVBand="1"/>
      </w:tblPr>
      <w:tblGrid>
        <w:gridCol w:w="985"/>
        <w:gridCol w:w="1170"/>
        <w:gridCol w:w="1080"/>
        <w:gridCol w:w="853"/>
        <w:gridCol w:w="928"/>
        <w:gridCol w:w="759"/>
        <w:gridCol w:w="1230"/>
        <w:gridCol w:w="855"/>
        <w:gridCol w:w="70"/>
        <w:gridCol w:w="928"/>
        <w:gridCol w:w="1017"/>
        <w:gridCol w:w="239"/>
        <w:gridCol w:w="861"/>
        <w:gridCol w:w="630"/>
        <w:gridCol w:w="990"/>
        <w:gridCol w:w="1080"/>
        <w:gridCol w:w="1080"/>
      </w:tblGrid>
      <w:tr w:rsidR="00634E96" w:rsidRPr="00634E96" w14:paraId="0C570F1A" w14:textId="77777777" w:rsidTr="00125F27">
        <w:trPr>
          <w:trHeight w:val="558"/>
        </w:trPr>
        <w:tc>
          <w:tcPr>
            <w:tcW w:w="7005" w:type="dxa"/>
            <w:gridSpan w:val="7"/>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D2529BB" w14:textId="77777777" w:rsidR="00634E96" w:rsidRPr="00634E96" w:rsidRDefault="00634E96" w:rsidP="00125F27">
            <w:pPr>
              <w:rPr>
                <w:rFonts w:ascii="Arial" w:hAnsi="Arial" w:cs="Arial"/>
                <w:b/>
                <w:color w:val="FFFFFF"/>
                <w:sz w:val="16"/>
                <w:szCs w:val="16"/>
              </w:rPr>
            </w:pPr>
            <w:r w:rsidRPr="00634E96">
              <w:rPr>
                <w:rFonts w:ascii="Arial" w:hAnsi="Arial" w:cs="Arial"/>
                <w:b/>
                <w:color w:val="FFFFFF"/>
                <w:sz w:val="16"/>
                <w:szCs w:val="16"/>
              </w:rPr>
              <w:t xml:space="preserve">2019/20 MID-YEAR PERRORMANCE REPORT </w:t>
            </w:r>
          </w:p>
        </w:tc>
        <w:tc>
          <w:tcPr>
            <w:tcW w:w="855" w:type="dxa"/>
            <w:tcBorders>
              <w:top w:val="single" w:sz="4" w:space="0" w:color="auto"/>
              <w:left w:val="nil"/>
              <w:bottom w:val="single" w:sz="4" w:space="0" w:color="auto"/>
              <w:right w:val="nil"/>
            </w:tcBorders>
            <w:shd w:val="clear" w:color="auto" w:fill="C4BC96" w:themeFill="background2" w:themeFillShade="BF"/>
          </w:tcPr>
          <w:p w14:paraId="35BEABE6" w14:textId="77777777" w:rsidR="00634E96" w:rsidRPr="00634E96" w:rsidRDefault="00634E96" w:rsidP="00125F27">
            <w:pPr>
              <w:rPr>
                <w:rFonts w:ascii="Arial" w:hAnsi="Arial" w:cs="Arial"/>
                <w:b/>
                <w:color w:val="FFFFFF"/>
                <w:sz w:val="16"/>
                <w:szCs w:val="16"/>
              </w:rPr>
            </w:pPr>
          </w:p>
        </w:tc>
        <w:tc>
          <w:tcPr>
            <w:tcW w:w="6895" w:type="dxa"/>
            <w:gridSpan w:val="9"/>
            <w:tcBorders>
              <w:top w:val="single" w:sz="4" w:space="0" w:color="auto"/>
              <w:left w:val="nil"/>
              <w:bottom w:val="single" w:sz="4" w:space="0" w:color="auto"/>
              <w:right w:val="single" w:sz="4" w:space="0" w:color="auto"/>
            </w:tcBorders>
            <w:shd w:val="clear" w:color="auto" w:fill="C4BC96" w:themeFill="background2" w:themeFillShade="BF"/>
          </w:tcPr>
          <w:p w14:paraId="6ED56A2C" w14:textId="77777777" w:rsidR="00634E96" w:rsidRPr="00634E96" w:rsidRDefault="00634E96" w:rsidP="00125F27">
            <w:pPr>
              <w:rPr>
                <w:rFonts w:ascii="Arial" w:hAnsi="Arial" w:cs="Arial"/>
                <w:b/>
                <w:color w:val="FFFFFF"/>
                <w:sz w:val="16"/>
                <w:szCs w:val="16"/>
              </w:rPr>
            </w:pPr>
            <w:r w:rsidRPr="00634E96">
              <w:rPr>
                <w:rFonts w:ascii="Arial" w:hAnsi="Arial" w:cs="Arial"/>
                <w:b/>
                <w:color w:val="FFFFFF"/>
                <w:sz w:val="16"/>
                <w:szCs w:val="16"/>
              </w:rPr>
              <w:t>2020/21 MID-YEAR PERFORMANCE REPORT</w:t>
            </w:r>
          </w:p>
        </w:tc>
      </w:tr>
      <w:tr w:rsidR="00125F27" w:rsidRPr="00634E96" w14:paraId="36C1DE20" w14:textId="37E68217" w:rsidTr="00125F27">
        <w:trPr>
          <w:trHeight w:val="558"/>
        </w:trPr>
        <w:tc>
          <w:tcPr>
            <w:tcW w:w="98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EB0854"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DEPT.</w:t>
            </w:r>
          </w:p>
        </w:tc>
        <w:tc>
          <w:tcPr>
            <w:tcW w:w="117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14:paraId="0DAB349E"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Total no. of targets</w:t>
            </w:r>
          </w:p>
        </w:tc>
        <w:tc>
          <w:tcPr>
            <w:tcW w:w="1080" w:type="dxa"/>
            <w:tcBorders>
              <w:top w:val="single" w:sz="4" w:space="0" w:color="auto"/>
              <w:left w:val="nil"/>
              <w:bottom w:val="single" w:sz="4" w:space="0" w:color="auto"/>
              <w:right w:val="single" w:sz="4" w:space="0" w:color="auto"/>
            </w:tcBorders>
            <w:shd w:val="clear" w:color="auto" w:fill="C4BC96" w:themeFill="background2" w:themeFillShade="BF"/>
            <w:hideMark/>
          </w:tcPr>
          <w:p w14:paraId="7C0E4A6B"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Targets Achieved</w:t>
            </w:r>
          </w:p>
        </w:tc>
        <w:tc>
          <w:tcPr>
            <w:tcW w:w="853" w:type="dxa"/>
            <w:tcBorders>
              <w:top w:val="single" w:sz="4" w:space="0" w:color="auto"/>
              <w:left w:val="nil"/>
              <w:bottom w:val="single" w:sz="4" w:space="0" w:color="auto"/>
              <w:right w:val="single" w:sz="4" w:space="0" w:color="auto"/>
            </w:tcBorders>
            <w:shd w:val="clear" w:color="auto" w:fill="C4BC96" w:themeFill="background2" w:themeFillShade="BF"/>
          </w:tcPr>
          <w:p w14:paraId="4B49E47B" w14:textId="009DCA47" w:rsidR="00125F27" w:rsidRPr="00634E96" w:rsidRDefault="00125F27" w:rsidP="00125F27">
            <w:pPr>
              <w:rPr>
                <w:rFonts w:ascii="Arial" w:hAnsi="Arial" w:cs="Arial"/>
                <w:b/>
                <w:color w:val="FFFFFF"/>
                <w:sz w:val="16"/>
                <w:szCs w:val="16"/>
              </w:rPr>
            </w:pPr>
            <w:r>
              <w:rPr>
                <w:rFonts w:ascii="Arial" w:hAnsi="Arial" w:cs="Arial"/>
                <w:b/>
                <w:color w:val="FFFFFF"/>
                <w:sz w:val="16"/>
                <w:szCs w:val="16"/>
              </w:rPr>
              <w:t xml:space="preserve">Q2 </w:t>
            </w:r>
            <w:r w:rsidRPr="00634E96">
              <w:rPr>
                <w:rFonts w:ascii="Arial" w:hAnsi="Arial" w:cs="Arial"/>
                <w:b/>
                <w:color w:val="FFFFFF"/>
                <w:sz w:val="16"/>
                <w:szCs w:val="16"/>
              </w:rPr>
              <w:t>%</w:t>
            </w:r>
          </w:p>
        </w:tc>
        <w:tc>
          <w:tcPr>
            <w:tcW w:w="928" w:type="dxa"/>
            <w:tcBorders>
              <w:top w:val="single" w:sz="4" w:space="0" w:color="auto"/>
              <w:left w:val="nil"/>
              <w:bottom w:val="single" w:sz="4" w:space="0" w:color="auto"/>
              <w:right w:val="single" w:sz="4" w:space="0" w:color="auto"/>
            </w:tcBorders>
            <w:shd w:val="clear" w:color="auto" w:fill="C4BC96" w:themeFill="background2" w:themeFillShade="BF"/>
            <w:hideMark/>
          </w:tcPr>
          <w:p w14:paraId="6CCF1507"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Targets Not Achieved</w:t>
            </w:r>
          </w:p>
        </w:tc>
        <w:tc>
          <w:tcPr>
            <w:tcW w:w="759" w:type="dxa"/>
            <w:tcBorders>
              <w:top w:val="single" w:sz="4" w:space="0" w:color="auto"/>
              <w:left w:val="nil"/>
              <w:bottom w:val="single" w:sz="4" w:space="0" w:color="auto"/>
              <w:right w:val="single" w:sz="4" w:space="0" w:color="auto"/>
            </w:tcBorders>
            <w:shd w:val="clear" w:color="auto" w:fill="C4BC96" w:themeFill="background2" w:themeFillShade="BF"/>
          </w:tcPr>
          <w:p w14:paraId="5F669F48" w14:textId="37F25184" w:rsidR="00125F27" w:rsidRPr="00634E96" w:rsidRDefault="00125F27" w:rsidP="00125F27">
            <w:pPr>
              <w:rPr>
                <w:rFonts w:ascii="Arial" w:hAnsi="Arial" w:cs="Arial"/>
                <w:b/>
                <w:color w:val="FFFFFF"/>
                <w:sz w:val="16"/>
                <w:szCs w:val="16"/>
              </w:rPr>
            </w:pPr>
            <w:r>
              <w:rPr>
                <w:rFonts w:ascii="Arial" w:hAnsi="Arial" w:cs="Arial"/>
                <w:b/>
                <w:color w:val="FFFFFF"/>
                <w:sz w:val="16"/>
                <w:szCs w:val="16"/>
              </w:rPr>
              <w:t xml:space="preserve">Q2 </w:t>
            </w:r>
            <w:r w:rsidRPr="00634E96">
              <w:rPr>
                <w:rFonts w:ascii="Arial" w:hAnsi="Arial" w:cs="Arial"/>
                <w:b/>
                <w:color w:val="FFFFFF"/>
                <w:sz w:val="16"/>
                <w:szCs w:val="16"/>
              </w:rPr>
              <w:t>%</w:t>
            </w:r>
          </w:p>
        </w:tc>
        <w:tc>
          <w:tcPr>
            <w:tcW w:w="1230" w:type="dxa"/>
            <w:tcBorders>
              <w:top w:val="single" w:sz="4" w:space="0" w:color="auto"/>
              <w:left w:val="nil"/>
              <w:bottom w:val="single" w:sz="4" w:space="0" w:color="auto"/>
              <w:right w:val="single" w:sz="4" w:space="0" w:color="auto"/>
            </w:tcBorders>
            <w:shd w:val="clear" w:color="auto" w:fill="C4BC96" w:themeFill="background2" w:themeFillShade="BF"/>
          </w:tcPr>
          <w:p w14:paraId="7EF9832A"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 of Q1 &amp; Q2 Consolidated Performance at Mid-year 31 December 2019</w:t>
            </w:r>
          </w:p>
        </w:tc>
        <w:tc>
          <w:tcPr>
            <w:tcW w:w="925" w:type="dxa"/>
            <w:gridSpan w:val="2"/>
            <w:tcBorders>
              <w:top w:val="single" w:sz="4" w:space="0" w:color="auto"/>
              <w:left w:val="nil"/>
              <w:bottom w:val="single" w:sz="4" w:space="0" w:color="auto"/>
              <w:right w:val="single" w:sz="4" w:space="0" w:color="auto"/>
            </w:tcBorders>
            <w:shd w:val="clear" w:color="auto" w:fill="C4BC96" w:themeFill="background2" w:themeFillShade="BF"/>
          </w:tcPr>
          <w:p w14:paraId="4529E5AF"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No. of targets</w:t>
            </w:r>
          </w:p>
        </w:tc>
        <w:tc>
          <w:tcPr>
            <w:tcW w:w="92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35D3520"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Targets Achieved</w:t>
            </w:r>
          </w:p>
        </w:tc>
        <w:tc>
          <w:tcPr>
            <w:tcW w:w="1017" w:type="dxa"/>
            <w:tcBorders>
              <w:top w:val="single" w:sz="4" w:space="0" w:color="auto"/>
              <w:left w:val="nil"/>
              <w:bottom w:val="single" w:sz="4" w:space="0" w:color="auto"/>
              <w:right w:val="nil"/>
            </w:tcBorders>
            <w:shd w:val="clear" w:color="auto" w:fill="C4BC96" w:themeFill="background2" w:themeFillShade="BF"/>
          </w:tcPr>
          <w:p w14:paraId="59CC0290" w14:textId="78E93EE2" w:rsidR="00125F27" w:rsidRPr="00634E96" w:rsidRDefault="00125F27" w:rsidP="00125F27">
            <w:pPr>
              <w:rPr>
                <w:rFonts w:ascii="Arial" w:hAnsi="Arial" w:cs="Arial"/>
                <w:b/>
                <w:color w:val="FFFFFF"/>
                <w:sz w:val="16"/>
                <w:szCs w:val="16"/>
              </w:rPr>
            </w:pPr>
            <w:r>
              <w:rPr>
                <w:rFonts w:ascii="Arial" w:hAnsi="Arial" w:cs="Arial"/>
                <w:b/>
                <w:color w:val="FFFFFF"/>
                <w:sz w:val="16"/>
                <w:szCs w:val="16"/>
              </w:rPr>
              <w:t xml:space="preserve">Q2 </w:t>
            </w:r>
            <w:r w:rsidRPr="00634E96">
              <w:rPr>
                <w:rFonts w:ascii="Arial" w:hAnsi="Arial" w:cs="Arial"/>
                <w:b/>
                <w:color w:val="FFFFFF"/>
                <w:sz w:val="16"/>
                <w:szCs w:val="16"/>
              </w:rPr>
              <w:t>%</w:t>
            </w:r>
          </w:p>
        </w:tc>
        <w:tc>
          <w:tcPr>
            <w:tcW w:w="239" w:type="dxa"/>
            <w:tcBorders>
              <w:top w:val="single" w:sz="4" w:space="0" w:color="auto"/>
              <w:left w:val="nil"/>
              <w:bottom w:val="single" w:sz="4" w:space="0" w:color="auto"/>
              <w:right w:val="single" w:sz="4" w:space="0" w:color="auto"/>
            </w:tcBorders>
            <w:shd w:val="clear" w:color="auto" w:fill="C4BC96" w:themeFill="background2" w:themeFillShade="BF"/>
          </w:tcPr>
          <w:p w14:paraId="028B248F" w14:textId="77777777" w:rsidR="00125F27" w:rsidRPr="00634E96" w:rsidRDefault="00125F27" w:rsidP="00125F27">
            <w:pPr>
              <w:rPr>
                <w:rFonts w:ascii="Arial" w:hAnsi="Arial" w:cs="Arial"/>
                <w:b/>
                <w:color w:val="FFFFFF"/>
                <w:sz w:val="16"/>
                <w:szCs w:val="16"/>
              </w:rPr>
            </w:pPr>
          </w:p>
        </w:tc>
        <w:tc>
          <w:tcPr>
            <w:tcW w:w="861" w:type="dxa"/>
            <w:tcBorders>
              <w:top w:val="single" w:sz="4" w:space="0" w:color="auto"/>
              <w:left w:val="nil"/>
              <w:bottom w:val="single" w:sz="4" w:space="0" w:color="auto"/>
              <w:right w:val="single" w:sz="4" w:space="0" w:color="auto"/>
            </w:tcBorders>
            <w:shd w:val="clear" w:color="auto" w:fill="C4BC96" w:themeFill="background2" w:themeFillShade="BF"/>
          </w:tcPr>
          <w:p w14:paraId="2F06380C" w14:textId="77777777" w:rsidR="00125F27" w:rsidRPr="00634E96" w:rsidRDefault="00125F27" w:rsidP="00125F27">
            <w:pPr>
              <w:rPr>
                <w:rFonts w:ascii="Arial" w:hAnsi="Arial" w:cs="Arial"/>
                <w:b/>
                <w:color w:val="FFFFFF"/>
                <w:sz w:val="16"/>
                <w:szCs w:val="16"/>
              </w:rPr>
            </w:pPr>
            <w:r w:rsidRPr="00634E96">
              <w:rPr>
                <w:rFonts w:ascii="Arial" w:hAnsi="Arial" w:cs="Arial"/>
                <w:b/>
                <w:color w:val="FFFFFF"/>
                <w:sz w:val="16"/>
                <w:szCs w:val="16"/>
              </w:rPr>
              <w:t>Targets Not Achieved</w:t>
            </w:r>
          </w:p>
        </w:tc>
        <w:tc>
          <w:tcPr>
            <w:tcW w:w="630" w:type="dxa"/>
            <w:tcBorders>
              <w:top w:val="single" w:sz="4" w:space="0" w:color="auto"/>
              <w:left w:val="nil"/>
              <w:bottom w:val="single" w:sz="4" w:space="0" w:color="auto"/>
              <w:right w:val="single" w:sz="4" w:space="0" w:color="auto"/>
            </w:tcBorders>
            <w:shd w:val="clear" w:color="auto" w:fill="C4BC96" w:themeFill="background2" w:themeFillShade="BF"/>
          </w:tcPr>
          <w:p w14:paraId="1CA103BF" w14:textId="770887AA" w:rsidR="00125F27" w:rsidRPr="00634E96" w:rsidRDefault="00125F27" w:rsidP="00125F27">
            <w:pPr>
              <w:rPr>
                <w:rFonts w:ascii="Arial" w:hAnsi="Arial" w:cs="Arial"/>
                <w:b/>
                <w:color w:val="FFFFFF"/>
                <w:sz w:val="16"/>
                <w:szCs w:val="16"/>
              </w:rPr>
            </w:pPr>
            <w:r>
              <w:rPr>
                <w:rFonts w:ascii="Arial" w:hAnsi="Arial" w:cs="Arial"/>
                <w:b/>
                <w:color w:val="FFFFFF"/>
                <w:sz w:val="16"/>
                <w:szCs w:val="16"/>
              </w:rPr>
              <w:t xml:space="preserve">Q2 </w:t>
            </w:r>
            <w:r w:rsidRPr="00634E96">
              <w:rPr>
                <w:rFonts w:ascii="Arial" w:hAnsi="Arial" w:cs="Arial"/>
                <w:b/>
                <w:color w:val="FFFFFF"/>
                <w:sz w:val="16"/>
                <w:szCs w:val="16"/>
              </w:rPr>
              <w:t>%</w:t>
            </w:r>
          </w:p>
        </w:tc>
        <w:tc>
          <w:tcPr>
            <w:tcW w:w="990" w:type="dxa"/>
            <w:tcBorders>
              <w:top w:val="single" w:sz="4" w:space="0" w:color="auto"/>
              <w:left w:val="nil"/>
              <w:bottom w:val="single" w:sz="4" w:space="0" w:color="auto"/>
              <w:right w:val="single" w:sz="4" w:space="0" w:color="auto"/>
            </w:tcBorders>
            <w:shd w:val="clear" w:color="auto" w:fill="C4BC96" w:themeFill="background2" w:themeFillShade="BF"/>
          </w:tcPr>
          <w:p w14:paraId="681989A1" w14:textId="608D1298" w:rsidR="00125F27" w:rsidRPr="00634E96" w:rsidRDefault="00125F27" w:rsidP="00125F27">
            <w:pPr>
              <w:rPr>
                <w:rFonts w:ascii="Arial" w:hAnsi="Arial" w:cs="Arial"/>
                <w:b/>
                <w:color w:val="FFFFFF"/>
                <w:sz w:val="16"/>
                <w:szCs w:val="16"/>
              </w:rPr>
            </w:pPr>
            <w:r>
              <w:rPr>
                <w:rFonts w:ascii="Arial" w:hAnsi="Arial" w:cs="Arial"/>
                <w:b/>
                <w:color w:val="FFFFFF"/>
                <w:sz w:val="16"/>
                <w:szCs w:val="16"/>
              </w:rPr>
              <w:t>No. of targets not achieved at Mid-year of 2020/21</w:t>
            </w:r>
          </w:p>
        </w:tc>
        <w:tc>
          <w:tcPr>
            <w:tcW w:w="1080" w:type="dxa"/>
            <w:tcBorders>
              <w:top w:val="single" w:sz="4" w:space="0" w:color="auto"/>
              <w:left w:val="nil"/>
              <w:bottom w:val="single" w:sz="4" w:space="0" w:color="auto"/>
              <w:right w:val="single" w:sz="4" w:space="0" w:color="auto"/>
            </w:tcBorders>
            <w:shd w:val="clear" w:color="auto" w:fill="C4BC96" w:themeFill="background2" w:themeFillShade="BF"/>
          </w:tcPr>
          <w:p w14:paraId="53A070CB" w14:textId="3DB0C59A" w:rsidR="00125F27" w:rsidRPr="00634E96" w:rsidRDefault="00125F27" w:rsidP="00125F27">
            <w:pPr>
              <w:jc w:val="both"/>
              <w:rPr>
                <w:rFonts w:ascii="Arial" w:hAnsi="Arial" w:cs="Arial"/>
                <w:b/>
                <w:color w:val="FFFFFF"/>
                <w:sz w:val="16"/>
                <w:szCs w:val="16"/>
              </w:rPr>
            </w:pPr>
            <w:r>
              <w:rPr>
                <w:rFonts w:ascii="Arial" w:hAnsi="Arial" w:cs="Arial"/>
                <w:b/>
                <w:color w:val="FFFFFF"/>
                <w:sz w:val="16"/>
                <w:szCs w:val="16"/>
              </w:rPr>
              <w:t>No. of targets achieved at Mid-year of 2020/21</w:t>
            </w:r>
          </w:p>
        </w:tc>
        <w:tc>
          <w:tcPr>
            <w:tcW w:w="1080" w:type="dxa"/>
            <w:tcBorders>
              <w:top w:val="single" w:sz="4" w:space="0" w:color="auto"/>
              <w:left w:val="nil"/>
              <w:bottom w:val="single" w:sz="4" w:space="0" w:color="auto"/>
              <w:right w:val="single" w:sz="4" w:space="0" w:color="auto"/>
            </w:tcBorders>
            <w:shd w:val="clear" w:color="auto" w:fill="C4BC96" w:themeFill="background2" w:themeFillShade="BF"/>
          </w:tcPr>
          <w:p w14:paraId="21198453" w14:textId="18048627" w:rsidR="00125F27" w:rsidRPr="00634E96" w:rsidRDefault="00125F27" w:rsidP="00125F27">
            <w:pPr>
              <w:jc w:val="both"/>
              <w:rPr>
                <w:rFonts w:ascii="Arial" w:hAnsi="Arial" w:cs="Arial"/>
                <w:b/>
                <w:color w:val="FFFFFF"/>
                <w:sz w:val="16"/>
                <w:szCs w:val="16"/>
              </w:rPr>
            </w:pPr>
            <w:r w:rsidRPr="00634E96">
              <w:rPr>
                <w:rFonts w:ascii="Arial" w:hAnsi="Arial" w:cs="Arial"/>
                <w:b/>
                <w:color w:val="FFFFFF"/>
                <w:sz w:val="16"/>
                <w:szCs w:val="16"/>
              </w:rPr>
              <w:t>% of  Q1 &amp; Q2 Consolidated Performance at Mid-year 31 December 2020</w:t>
            </w:r>
          </w:p>
        </w:tc>
      </w:tr>
      <w:tr w:rsidR="00125F27" w:rsidRPr="00634E96" w14:paraId="61ED1835" w14:textId="52D7D61C" w:rsidTr="00125F27">
        <w:trPr>
          <w:trHeight w:val="300"/>
        </w:trPr>
        <w:tc>
          <w:tcPr>
            <w:tcW w:w="985" w:type="dxa"/>
            <w:tcBorders>
              <w:top w:val="single" w:sz="4" w:space="0" w:color="auto"/>
              <w:left w:val="single" w:sz="4" w:space="0" w:color="auto"/>
              <w:bottom w:val="single" w:sz="4" w:space="0" w:color="auto"/>
              <w:right w:val="single" w:sz="4" w:space="0" w:color="auto"/>
            </w:tcBorders>
            <w:shd w:val="clear" w:color="auto" w:fill="auto"/>
          </w:tcPr>
          <w:p w14:paraId="46733609"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OMM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ECCAE4"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17</w:t>
            </w:r>
          </w:p>
        </w:tc>
        <w:tc>
          <w:tcPr>
            <w:tcW w:w="1080" w:type="dxa"/>
            <w:tcBorders>
              <w:top w:val="single" w:sz="4" w:space="0" w:color="auto"/>
              <w:left w:val="nil"/>
              <w:bottom w:val="single" w:sz="4" w:space="0" w:color="auto"/>
              <w:right w:val="single" w:sz="4" w:space="0" w:color="auto"/>
            </w:tcBorders>
            <w:shd w:val="clear" w:color="auto" w:fill="auto"/>
          </w:tcPr>
          <w:p w14:paraId="33305B94"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06</w:t>
            </w:r>
          </w:p>
        </w:tc>
        <w:tc>
          <w:tcPr>
            <w:tcW w:w="853" w:type="dxa"/>
            <w:tcBorders>
              <w:top w:val="single" w:sz="4" w:space="0" w:color="auto"/>
              <w:left w:val="nil"/>
              <w:bottom w:val="single" w:sz="4" w:space="0" w:color="auto"/>
              <w:right w:val="single" w:sz="4" w:space="0" w:color="auto"/>
            </w:tcBorders>
            <w:shd w:val="clear" w:color="auto" w:fill="auto"/>
          </w:tcPr>
          <w:p w14:paraId="613612E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43%</w:t>
            </w:r>
          </w:p>
        </w:tc>
        <w:tc>
          <w:tcPr>
            <w:tcW w:w="928" w:type="dxa"/>
            <w:tcBorders>
              <w:top w:val="single" w:sz="4" w:space="0" w:color="auto"/>
              <w:left w:val="nil"/>
              <w:bottom w:val="single" w:sz="4" w:space="0" w:color="auto"/>
              <w:right w:val="single" w:sz="4" w:space="0" w:color="auto"/>
            </w:tcBorders>
            <w:shd w:val="clear" w:color="auto" w:fill="auto"/>
          </w:tcPr>
          <w:p w14:paraId="72813051"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08</w:t>
            </w:r>
          </w:p>
        </w:tc>
        <w:tc>
          <w:tcPr>
            <w:tcW w:w="759" w:type="dxa"/>
            <w:tcBorders>
              <w:top w:val="single" w:sz="4" w:space="0" w:color="auto"/>
              <w:left w:val="nil"/>
              <w:bottom w:val="single" w:sz="4" w:space="0" w:color="auto"/>
              <w:right w:val="single" w:sz="4" w:space="0" w:color="auto"/>
            </w:tcBorders>
            <w:shd w:val="clear" w:color="auto" w:fill="auto"/>
          </w:tcPr>
          <w:p w14:paraId="612776E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57%</w:t>
            </w:r>
          </w:p>
        </w:tc>
        <w:tc>
          <w:tcPr>
            <w:tcW w:w="1230" w:type="dxa"/>
            <w:tcBorders>
              <w:top w:val="single" w:sz="4" w:space="0" w:color="auto"/>
              <w:left w:val="nil"/>
              <w:bottom w:val="single" w:sz="4" w:space="0" w:color="auto"/>
              <w:right w:val="single" w:sz="4" w:space="0" w:color="auto"/>
            </w:tcBorders>
            <w:shd w:val="clear" w:color="auto" w:fill="auto"/>
          </w:tcPr>
          <w:p w14:paraId="420A6AB1"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57%</w:t>
            </w:r>
          </w:p>
        </w:tc>
        <w:tc>
          <w:tcPr>
            <w:tcW w:w="925" w:type="dxa"/>
            <w:gridSpan w:val="2"/>
            <w:tcBorders>
              <w:top w:val="single" w:sz="4" w:space="0" w:color="auto"/>
              <w:left w:val="nil"/>
              <w:bottom w:val="single" w:sz="4" w:space="0" w:color="auto"/>
              <w:right w:val="single" w:sz="4" w:space="0" w:color="auto"/>
            </w:tcBorders>
            <w:shd w:val="clear" w:color="auto" w:fill="auto"/>
          </w:tcPr>
          <w:p w14:paraId="24ABE729"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17</w:t>
            </w:r>
          </w:p>
        </w:tc>
        <w:tc>
          <w:tcPr>
            <w:tcW w:w="928" w:type="dxa"/>
            <w:tcBorders>
              <w:top w:val="single" w:sz="4" w:space="0" w:color="auto"/>
              <w:left w:val="nil"/>
              <w:bottom w:val="single" w:sz="4" w:space="0" w:color="auto"/>
              <w:right w:val="single" w:sz="4" w:space="0" w:color="auto"/>
            </w:tcBorders>
            <w:shd w:val="clear" w:color="auto" w:fill="auto"/>
          </w:tcPr>
          <w:p w14:paraId="71CFE815"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12</w:t>
            </w:r>
          </w:p>
        </w:tc>
        <w:tc>
          <w:tcPr>
            <w:tcW w:w="1017" w:type="dxa"/>
            <w:tcBorders>
              <w:top w:val="single" w:sz="4" w:space="0" w:color="auto"/>
              <w:left w:val="nil"/>
              <w:bottom w:val="single" w:sz="4" w:space="0" w:color="auto"/>
              <w:right w:val="nil"/>
            </w:tcBorders>
          </w:tcPr>
          <w:p w14:paraId="500765D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88.2%</w:t>
            </w:r>
          </w:p>
        </w:tc>
        <w:tc>
          <w:tcPr>
            <w:tcW w:w="239" w:type="dxa"/>
            <w:tcBorders>
              <w:top w:val="single" w:sz="4" w:space="0" w:color="auto"/>
              <w:left w:val="nil"/>
              <w:bottom w:val="single" w:sz="4" w:space="0" w:color="auto"/>
              <w:right w:val="single" w:sz="4" w:space="0" w:color="auto"/>
            </w:tcBorders>
            <w:shd w:val="clear" w:color="auto" w:fill="auto"/>
          </w:tcPr>
          <w:p w14:paraId="46D9C3E3"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shd w:val="clear" w:color="auto" w:fill="auto"/>
          </w:tcPr>
          <w:p w14:paraId="2B3CC7D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02</w:t>
            </w:r>
          </w:p>
        </w:tc>
        <w:tc>
          <w:tcPr>
            <w:tcW w:w="630" w:type="dxa"/>
            <w:tcBorders>
              <w:top w:val="single" w:sz="4" w:space="0" w:color="auto"/>
              <w:left w:val="nil"/>
              <w:bottom w:val="single" w:sz="4" w:space="0" w:color="auto"/>
              <w:right w:val="single" w:sz="4" w:space="0" w:color="auto"/>
            </w:tcBorders>
            <w:shd w:val="clear" w:color="auto" w:fill="auto"/>
          </w:tcPr>
          <w:p w14:paraId="55CA431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11.7%</w:t>
            </w:r>
          </w:p>
        </w:tc>
        <w:tc>
          <w:tcPr>
            <w:tcW w:w="990" w:type="dxa"/>
            <w:tcBorders>
              <w:top w:val="single" w:sz="4" w:space="0" w:color="auto"/>
              <w:left w:val="nil"/>
              <w:bottom w:val="single" w:sz="4" w:space="0" w:color="auto"/>
              <w:right w:val="single" w:sz="4" w:space="0" w:color="auto"/>
            </w:tcBorders>
            <w:shd w:val="clear" w:color="auto" w:fill="auto"/>
          </w:tcPr>
          <w:p w14:paraId="4B7BA81C" w14:textId="4AEDFA6E"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03</w:t>
            </w:r>
          </w:p>
        </w:tc>
        <w:tc>
          <w:tcPr>
            <w:tcW w:w="1080" w:type="dxa"/>
            <w:tcBorders>
              <w:top w:val="single" w:sz="4" w:space="0" w:color="auto"/>
              <w:left w:val="nil"/>
              <w:bottom w:val="single" w:sz="4" w:space="0" w:color="auto"/>
              <w:right w:val="single" w:sz="4" w:space="0" w:color="auto"/>
            </w:tcBorders>
            <w:shd w:val="clear" w:color="auto" w:fill="auto"/>
          </w:tcPr>
          <w:p w14:paraId="6DE752FA" w14:textId="2314376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12</w:t>
            </w:r>
          </w:p>
        </w:tc>
        <w:tc>
          <w:tcPr>
            <w:tcW w:w="1080" w:type="dxa"/>
            <w:tcBorders>
              <w:top w:val="single" w:sz="4" w:space="0" w:color="auto"/>
              <w:left w:val="nil"/>
              <w:bottom w:val="single" w:sz="4" w:space="0" w:color="auto"/>
              <w:right w:val="single" w:sz="4" w:space="0" w:color="auto"/>
            </w:tcBorders>
            <w:shd w:val="clear" w:color="auto" w:fill="auto"/>
          </w:tcPr>
          <w:p w14:paraId="3D3DDA59" w14:textId="009B5239"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80%</w:t>
            </w:r>
          </w:p>
        </w:tc>
      </w:tr>
      <w:tr w:rsidR="00125F27" w:rsidRPr="00634E96" w14:paraId="0C845ADC" w14:textId="29C8F6C9" w:rsidTr="00125F27">
        <w:trPr>
          <w:trHeight w:val="344"/>
        </w:trPr>
        <w:tc>
          <w:tcPr>
            <w:tcW w:w="985" w:type="dxa"/>
            <w:tcBorders>
              <w:top w:val="single" w:sz="4" w:space="0" w:color="auto"/>
              <w:left w:val="single" w:sz="4" w:space="0" w:color="auto"/>
              <w:bottom w:val="single" w:sz="4" w:space="0" w:color="auto"/>
              <w:right w:val="single" w:sz="4" w:space="0" w:color="auto"/>
            </w:tcBorders>
          </w:tcPr>
          <w:p w14:paraId="5FC68185"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CSS</w:t>
            </w:r>
          </w:p>
        </w:tc>
        <w:tc>
          <w:tcPr>
            <w:tcW w:w="1170" w:type="dxa"/>
            <w:tcBorders>
              <w:top w:val="single" w:sz="4" w:space="0" w:color="auto"/>
              <w:left w:val="single" w:sz="4" w:space="0" w:color="auto"/>
              <w:bottom w:val="single" w:sz="4" w:space="0" w:color="auto"/>
              <w:right w:val="single" w:sz="4" w:space="0" w:color="auto"/>
            </w:tcBorders>
          </w:tcPr>
          <w:p w14:paraId="5D63A41B"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29</w:t>
            </w:r>
          </w:p>
        </w:tc>
        <w:tc>
          <w:tcPr>
            <w:tcW w:w="1080" w:type="dxa"/>
            <w:tcBorders>
              <w:top w:val="single" w:sz="4" w:space="0" w:color="auto"/>
              <w:left w:val="nil"/>
              <w:bottom w:val="single" w:sz="4" w:space="0" w:color="auto"/>
              <w:right w:val="single" w:sz="4" w:space="0" w:color="auto"/>
            </w:tcBorders>
          </w:tcPr>
          <w:p w14:paraId="529B8303"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19</w:t>
            </w:r>
          </w:p>
        </w:tc>
        <w:tc>
          <w:tcPr>
            <w:tcW w:w="853" w:type="dxa"/>
            <w:tcBorders>
              <w:top w:val="single" w:sz="4" w:space="0" w:color="auto"/>
              <w:left w:val="nil"/>
              <w:bottom w:val="single" w:sz="4" w:space="0" w:color="auto"/>
              <w:right w:val="single" w:sz="4" w:space="0" w:color="auto"/>
            </w:tcBorders>
          </w:tcPr>
          <w:p w14:paraId="32FDF6D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90%</w:t>
            </w:r>
          </w:p>
        </w:tc>
        <w:tc>
          <w:tcPr>
            <w:tcW w:w="928" w:type="dxa"/>
            <w:tcBorders>
              <w:top w:val="single" w:sz="4" w:space="0" w:color="auto"/>
              <w:left w:val="nil"/>
              <w:bottom w:val="single" w:sz="4" w:space="0" w:color="auto"/>
              <w:right w:val="single" w:sz="4" w:space="0" w:color="auto"/>
            </w:tcBorders>
          </w:tcPr>
          <w:p w14:paraId="53F2528B"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02</w:t>
            </w:r>
          </w:p>
        </w:tc>
        <w:tc>
          <w:tcPr>
            <w:tcW w:w="759" w:type="dxa"/>
            <w:tcBorders>
              <w:top w:val="single" w:sz="4" w:space="0" w:color="auto"/>
              <w:left w:val="nil"/>
              <w:bottom w:val="single" w:sz="4" w:space="0" w:color="auto"/>
              <w:right w:val="single" w:sz="4" w:space="0" w:color="auto"/>
            </w:tcBorders>
          </w:tcPr>
          <w:p w14:paraId="12557531"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10.52%</w:t>
            </w:r>
          </w:p>
        </w:tc>
        <w:tc>
          <w:tcPr>
            <w:tcW w:w="1230" w:type="dxa"/>
            <w:tcBorders>
              <w:top w:val="single" w:sz="4" w:space="0" w:color="auto"/>
              <w:left w:val="nil"/>
              <w:bottom w:val="single" w:sz="4" w:space="0" w:color="auto"/>
              <w:right w:val="single" w:sz="4" w:space="0" w:color="auto"/>
            </w:tcBorders>
          </w:tcPr>
          <w:p w14:paraId="737D9258"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95%</w:t>
            </w:r>
          </w:p>
        </w:tc>
        <w:tc>
          <w:tcPr>
            <w:tcW w:w="925" w:type="dxa"/>
            <w:gridSpan w:val="2"/>
            <w:tcBorders>
              <w:top w:val="single" w:sz="4" w:space="0" w:color="auto"/>
              <w:left w:val="nil"/>
              <w:bottom w:val="single" w:sz="4" w:space="0" w:color="auto"/>
              <w:right w:val="single" w:sz="4" w:space="0" w:color="auto"/>
            </w:tcBorders>
          </w:tcPr>
          <w:p w14:paraId="336426F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23</w:t>
            </w:r>
          </w:p>
        </w:tc>
        <w:tc>
          <w:tcPr>
            <w:tcW w:w="928" w:type="dxa"/>
            <w:tcBorders>
              <w:top w:val="single" w:sz="4" w:space="0" w:color="auto"/>
              <w:left w:val="nil"/>
              <w:bottom w:val="single" w:sz="4" w:space="0" w:color="auto"/>
              <w:right w:val="single" w:sz="4" w:space="0" w:color="auto"/>
            </w:tcBorders>
          </w:tcPr>
          <w:p w14:paraId="24389CD7"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11</w:t>
            </w:r>
          </w:p>
        </w:tc>
        <w:tc>
          <w:tcPr>
            <w:tcW w:w="1017" w:type="dxa"/>
            <w:tcBorders>
              <w:top w:val="single" w:sz="4" w:space="0" w:color="auto"/>
              <w:left w:val="nil"/>
              <w:bottom w:val="single" w:sz="4" w:space="0" w:color="auto"/>
              <w:right w:val="nil"/>
            </w:tcBorders>
          </w:tcPr>
          <w:p w14:paraId="2AE5B149" w14:textId="70C26CE8"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80</w:t>
            </w:r>
            <w:r w:rsidRPr="00634E96">
              <w:rPr>
                <w:rFonts w:ascii="Arial" w:hAnsi="Arial" w:cs="Arial"/>
                <w:b/>
                <w:color w:val="000000"/>
                <w:sz w:val="16"/>
                <w:szCs w:val="16"/>
              </w:rPr>
              <w:t>%</w:t>
            </w:r>
          </w:p>
        </w:tc>
        <w:tc>
          <w:tcPr>
            <w:tcW w:w="239" w:type="dxa"/>
            <w:tcBorders>
              <w:top w:val="single" w:sz="4" w:space="0" w:color="auto"/>
              <w:left w:val="nil"/>
              <w:bottom w:val="single" w:sz="4" w:space="0" w:color="auto"/>
              <w:right w:val="single" w:sz="4" w:space="0" w:color="auto"/>
            </w:tcBorders>
          </w:tcPr>
          <w:p w14:paraId="48CEF471"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tcPr>
          <w:p w14:paraId="4684725C"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03</w:t>
            </w:r>
          </w:p>
        </w:tc>
        <w:tc>
          <w:tcPr>
            <w:tcW w:w="630" w:type="dxa"/>
            <w:tcBorders>
              <w:top w:val="single" w:sz="4" w:space="0" w:color="auto"/>
              <w:left w:val="nil"/>
              <w:bottom w:val="single" w:sz="4" w:space="0" w:color="auto"/>
              <w:right w:val="single" w:sz="4" w:space="0" w:color="auto"/>
            </w:tcBorders>
          </w:tcPr>
          <w:p w14:paraId="62240F0F"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21.4%</w:t>
            </w:r>
          </w:p>
        </w:tc>
        <w:tc>
          <w:tcPr>
            <w:tcW w:w="990" w:type="dxa"/>
            <w:tcBorders>
              <w:top w:val="single" w:sz="4" w:space="0" w:color="auto"/>
              <w:left w:val="nil"/>
              <w:bottom w:val="single" w:sz="4" w:space="0" w:color="auto"/>
              <w:right w:val="single" w:sz="4" w:space="0" w:color="auto"/>
            </w:tcBorders>
          </w:tcPr>
          <w:p w14:paraId="1C6291E9" w14:textId="6E2AB509"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05</w:t>
            </w:r>
          </w:p>
        </w:tc>
        <w:tc>
          <w:tcPr>
            <w:tcW w:w="1080" w:type="dxa"/>
            <w:tcBorders>
              <w:top w:val="single" w:sz="4" w:space="0" w:color="auto"/>
              <w:left w:val="nil"/>
              <w:bottom w:val="single" w:sz="4" w:space="0" w:color="auto"/>
              <w:right w:val="single" w:sz="4" w:space="0" w:color="auto"/>
            </w:tcBorders>
          </w:tcPr>
          <w:p w14:paraId="19207AD5" w14:textId="0401C8D4"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14</w:t>
            </w:r>
          </w:p>
        </w:tc>
        <w:tc>
          <w:tcPr>
            <w:tcW w:w="1080" w:type="dxa"/>
            <w:tcBorders>
              <w:top w:val="single" w:sz="4" w:space="0" w:color="auto"/>
              <w:left w:val="nil"/>
              <w:bottom w:val="single" w:sz="4" w:space="0" w:color="auto"/>
              <w:right w:val="single" w:sz="4" w:space="0" w:color="auto"/>
            </w:tcBorders>
          </w:tcPr>
          <w:p w14:paraId="1DB042C8" w14:textId="61AE1631"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73.6</w:t>
            </w:r>
            <w:r w:rsidRPr="00634E96">
              <w:rPr>
                <w:rFonts w:ascii="Arial" w:hAnsi="Arial" w:cs="Arial"/>
                <w:b/>
                <w:color w:val="000000"/>
                <w:sz w:val="16"/>
                <w:szCs w:val="16"/>
              </w:rPr>
              <w:t>%</w:t>
            </w:r>
          </w:p>
        </w:tc>
      </w:tr>
      <w:tr w:rsidR="00125F27" w:rsidRPr="00634E96" w14:paraId="1DDC9967" w14:textId="216E9874" w:rsidTr="00125F27">
        <w:trPr>
          <w:trHeight w:val="344"/>
        </w:trPr>
        <w:tc>
          <w:tcPr>
            <w:tcW w:w="985" w:type="dxa"/>
            <w:tcBorders>
              <w:top w:val="single" w:sz="4" w:space="0" w:color="auto"/>
              <w:left w:val="single" w:sz="4" w:space="0" w:color="auto"/>
              <w:bottom w:val="single" w:sz="4" w:space="0" w:color="auto"/>
              <w:right w:val="single" w:sz="4" w:space="0" w:color="auto"/>
            </w:tcBorders>
          </w:tcPr>
          <w:p w14:paraId="4C9E5AC6"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CORP</w:t>
            </w:r>
          </w:p>
        </w:tc>
        <w:tc>
          <w:tcPr>
            <w:tcW w:w="1170" w:type="dxa"/>
            <w:tcBorders>
              <w:top w:val="single" w:sz="4" w:space="0" w:color="auto"/>
              <w:left w:val="single" w:sz="4" w:space="0" w:color="auto"/>
              <w:bottom w:val="single" w:sz="4" w:space="0" w:color="auto"/>
              <w:right w:val="single" w:sz="4" w:space="0" w:color="auto"/>
            </w:tcBorders>
          </w:tcPr>
          <w:p w14:paraId="720D4840"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13</w:t>
            </w:r>
          </w:p>
        </w:tc>
        <w:tc>
          <w:tcPr>
            <w:tcW w:w="1080" w:type="dxa"/>
            <w:tcBorders>
              <w:top w:val="single" w:sz="4" w:space="0" w:color="auto"/>
              <w:left w:val="nil"/>
              <w:bottom w:val="single" w:sz="4" w:space="0" w:color="auto"/>
              <w:right w:val="single" w:sz="4" w:space="0" w:color="auto"/>
            </w:tcBorders>
          </w:tcPr>
          <w:p w14:paraId="0299B5CA"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10</w:t>
            </w:r>
          </w:p>
        </w:tc>
        <w:tc>
          <w:tcPr>
            <w:tcW w:w="853" w:type="dxa"/>
            <w:tcBorders>
              <w:top w:val="single" w:sz="4" w:space="0" w:color="auto"/>
              <w:left w:val="nil"/>
              <w:bottom w:val="single" w:sz="4" w:space="0" w:color="auto"/>
              <w:right w:val="single" w:sz="4" w:space="0" w:color="auto"/>
            </w:tcBorders>
          </w:tcPr>
          <w:p w14:paraId="5DDFC7A5"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100%</w:t>
            </w:r>
          </w:p>
        </w:tc>
        <w:tc>
          <w:tcPr>
            <w:tcW w:w="928" w:type="dxa"/>
            <w:tcBorders>
              <w:top w:val="single" w:sz="4" w:space="0" w:color="auto"/>
              <w:left w:val="nil"/>
              <w:bottom w:val="single" w:sz="4" w:space="0" w:color="auto"/>
              <w:right w:val="single" w:sz="4" w:space="0" w:color="auto"/>
            </w:tcBorders>
          </w:tcPr>
          <w:p w14:paraId="6CFAE6CC"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w:t>
            </w:r>
          </w:p>
        </w:tc>
        <w:tc>
          <w:tcPr>
            <w:tcW w:w="759" w:type="dxa"/>
            <w:tcBorders>
              <w:top w:val="single" w:sz="4" w:space="0" w:color="auto"/>
              <w:left w:val="nil"/>
              <w:bottom w:val="single" w:sz="4" w:space="0" w:color="auto"/>
              <w:right w:val="single" w:sz="4" w:space="0" w:color="auto"/>
            </w:tcBorders>
          </w:tcPr>
          <w:p w14:paraId="7075197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w:t>
            </w:r>
          </w:p>
        </w:tc>
        <w:tc>
          <w:tcPr>
            <w:tcW w:w="1230" w:type="dxa"/>
            <w:tcBorders>
              <w:top w:val="single" w:sz="4" w:space="0" w:color="auto"/>
              <w:left w:val="nil"/>
              <w:bottom w:val="single" w:sz="4" w:space="0" w:color="auto"/>
              <w:right w:val="single" w:sz="4" w:space="0" w:color="auto"/>
            </w:tcBorders>
          </w:tcPr>
          <w:p w14:paraId="575FDA8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100%</w:t>
            </w:r>
          </w:p>
        </w:tc>
        <w:tc>
          <w:tcPr>
            <w:tcW w:w="925" w:type="dxa"/>
            <w:gridSpan w:val="2"/>
            <w:tcBorders>
              <w:top w:val="single" w:sz="4" w:space="0" w:color="auto"/>
              <w:left w:val="nil"/>
              <w:bottom w:val="single" w:sz="4" w:space="0" w:color="auto"/>
              <w:right w:val="single" w:sz="4" w:space="0" w:color="auto"/>
            </w:tcBorders>
          </w:tcPr>
          <w:p w14:paraId="134E57B7"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12</w:t>
            </w:r>
          </w:p>
        </w:tc>
        <w:tc>
          <w:tcPr>
            <w:tcW w:w="928" w:type="dxa"/>
            <w:tcBorders>
              <w:top w:val="single" w:sz="4" w:space="0" w:color="auto"/>
              <w:left w:val="nil"/>
              <w:bottom w:val="single" w:sz="4" w:space="0" w:color="auto"/>
              <w:right w:val="single" w:sz="4" w:space="0" w:color="auto"/>
            </w:tcBorders>
          </w:tcPr>
          <w:p w14:paraId="3F87BA95" w14:textId="2EEEAE1B"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06</w:t>
            </w:r>
          </w:p>
        </w:tc>
        <w:tc>
          <w:tcPr>
            <w:tcW w:w="1017" w:type="dxa"/>
            <w:tcBorders>
              <w:top w:val="single" w:sz="4" w:space="0" w:color="auto"/>
              <w:left w:val="nil"/>
              <w:bottom w:val="single" w:sz="4" w:space="0" w:color="auto"/>
              <w:right w:val="nil"/>
            </w:tcBorders>
          </w:tcPr>
          <w:p w14:paraId="550DBB52" w14:textId="42A47DB5"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66.6</w:t>
            </w:r>
            <w:r w:rsidRPr="00634E96">
              <w:rPr>
                <w:rFonts w:ascii="Arial" w:hAnsi="Arial" w:cs="Arial"/>
                <w:b/>
                <w:color w:val="000000"/>
                <w:sz w:val="16"/>
                <w:szCs w:val="16"/>
              </w:rPr>
              <w:t>%</w:t>
            </w:r>
          </w:p>
        </w:tc>
        <w:tc>
          <w:tcPr>
            <w:tcW w:w="239" w:type="dxa"/>
            <w:tcBorders>
              <w:top w:val="single" w:sz="4" w:space="0" w:color="auto"/>
              <w:left w:val="nil"/>
              <w:bottom w:val="single" w:sz="4" w:space="0" w:color="auto"/>
              <w:right w:val="single" w:sz="4" w:space="0" w:color="auto"/>
            </w:tcBorders>
          </w:tcPr>
          <w:p w14:paraId="0AD826CA"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tcPr>
          <w:p w14:paraId="2154B960"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03</w:t>
            </w:r>
          </w:p>
        </w:tc>
        <w:tc>
          <w:tcPr>
            <w:tcW w:w="630" w:type="dxa"/>
            <w:tcBorders>
              <w:top w:val="single" w:sz="4" w:space="0" w:color="auto"/>
              <w:left w:val="nil"/>
              <w:bottom w:val="single" w:sz="4" w:space="0" w:color="auto"/>
              <w:right w:val="single" w:sz="4" w:space="0" w:color="auto"/>
            </w:tcBorders>
          </w:tcPr>
          <w:p w14:paraId="4A584EDF"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33.3%</w:t>
            </w:r>
          </w:p>
        </w:tc>
        <w:tc>
          <w:tcPr>
            <w:tcW w:w="990" w:type="dxa"/>
            <w:tcBorders>
              <w:top w:val="single" w:sz="4" w:space="0" w:color="auto"/>
              <w:left w:val="nil"/>
              <w:bottom w:val="single" w:sz="4" w:space="0" w:color="auto"/>
              <w:right w:val="single" w:sz="4" w:space="0" w:color="auto"/>
            </w:tcBorders>
          </w:tcPr>
          <w:p w14:paraId="38D6A74A" w14:textId="133F54A9"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03</w:t>
            </w:r>
          </w:p>
        </w:tc>
        <w:tc>
          <w:tcPr>
            <w:tcW w:w="1080" w:type="dxa"/>
            <w:tcBorders>
              <w:top w:val="single" w:sz="4" w:space="0" w:color="auto"/>
              <w:left w:val="nil"/>
              <w:bottom w:val="single" w:sz="4" w:space="0" w:color="auto"/>
              <w:right w:val="single" w:sz="4" w:space="0" w:color="auto"/>
            </w:tcBorders>
          </w:tcPr>
          <w:p w14:paraId="0D84A87E" w14:textId="1340C1F4"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08</w:t>
            </w:r>
          </w:p>
        </w:tc>
        <w:tc>
          <w:tcPr>
            <w:tcW w:w="1080" w:type="dxa"/>
            <w:tcBorders>
              <w:top w:val="single" w:sz="4" w:space="0" w:color="auto"/>
              <w:left w:val="nil"/>
              <w:bottom w:val="single" w:sz="4" w:space="0" w:color="auto"/>
              <w:right w:val="single" w:sz="4" w:space="0" w:color="auto"/>
            </w:tcBorders>
          </w:tcPr>
          <w:p w14:paraId="2ADB4B85" w14:textId="6E964C90"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 xml:space="preserve">88.8 </w:t>
            </w:r>
            <w:r w:rsidRPr="00634E96">
              <w:rPr>
                <w:rFonts w:ascii="Arial" w:hAnsi="Arial" w:cs="Arial"/>
                <w:b/>
                <w:color w:val="000000"/>
                <w:sz w:val="16"/>
                <w:szCs w:val="16"/>
              </w:rPr>
              <w:t>%</w:t>
            </w:r>
          </w:p>
        </w:tc>
      </w:tr>
      <w:tr w:rsidR="00125F27" w:rsidRPr="00634E96" w14:paraId="0E575416" w14:textId="26214DFF" w:rsidTr="00125F27">
        <w:trPr>
          <w:trHeight w:val="344"/>
        </w:trPr>
        <w:tc>
          <w:tcPr>
            <w:tcW w:w="985" w:type="dxa"/>
            <w:tcBorders>
              <w:top w:val="single" w:sz="4" w:space="0" w:color="auto"/>
              <w:left w:val="single" w:sz="4" w:space="0" w:color="auto"/>
              <w:bottom w:val="single" w:sz="4" w:space="0" w:color="auto"/>
              <w:right w:val="single" w:sz="4" w:space="0" w:color="auto"/>
            </w:tcBorders>
          </w:tcPr>
          <w:p w14:paraId="32F5BDE4"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PWBS</w:t>
            </w:r>
          </w:p>
        </w:tc>
        <w:tc>
          <w:tcPr>
            <w:tcW w:w="1170" w:type="dxa"/>
            <w:tcBorders>
              <w:top w:val="single" w:sz="4" w:space="0" w:color="auto"/>
              <w:left w:val="single" w:sz="4" w:space="0" w:color="auto"/>
              <w:bottom w:val="single" w:sz="4" w:space="0" w:color="auto"/>
              <w:right w:val="single" w:sz="4" w:space="0" w:color="auto"/>
            </w:tcBorders>
          </w:tcPr>
          <w:p w14:paraId="18829385"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19</w:t>
            </w:r>
          </w:p>
        </w:tc>
        <w:tc>
          <w:tcPr>
            <w:tcW w:w="1080" w:type="dxa"/>
            <w:tcBorders>
              <w:top w:val="single" w:sz="4" w:space="0" w:color="auto"/>
              <w:left w:val="nil"/>
              <w:bottom w:val="single" w:sz="4" w:space="0" w:color="auto"/>
              <w:right w:val="single" w:sz="4" w:space="0" w:color="auto"/>
            </w:tcBorders>
          </w:tcPr>
          <w:p w14:paraId="646217ED"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08</w:t>
            </w:r>
          </w:p>
        </w:tc>
        <w:tc>
          <w:tcPr>
            <w:tcW w:w="853" w:type="dxa"/>
            <w:tcBorders>
              <w:top w:val="single" w:sz="4" w:space="0" w:color="auto"/>
              <w:left w:val="nil"/>
              <w:bottom w:val="single" w:sz="4" w:space="0" w:color="auto"/>
              <w:right w:val="single" w:sz="4" w:space="0" w:color="auto"/>
            </w:tcBorders>
          </w:tcPr>
          <w:p w14:paraId="223CCB4C"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89%</w:t>
            </w:r>
          </w:p>
        </w:tc>
        <w:tc>
          <w:tcPr>
            <w:tcW w:w="928" w:type="dxa"/>
            <w:tcBorders>
              <w:top w:val="single" w:sz="4" w:space="0" w:color="auto"/>
              <w:left w:val="nil"/>
              <w:bottom w:val="single" w:sz="4" w:space="0" w:color="auto"/>
              <w:right w:val="single" w:sz="4" w:space="0" w:color="auto"/>
            </w:tcBorders>
          </w:tcPr>
          <w:p w14:paraId="114FE12D"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02</w:t>
            </w:r>
          </w:p>
        </w:tc>
        <w:tc>
          <w:tcPr>
            <w:tcW w:w="759" w:type="dxa"/>
            <w:tcBorders>
              <w:top w:val="single" w:sz="4" w:space="0" w:color="auto"/>
              <w:left w:val="nil"/>
              <w:bottom w:val="single" w:sz="4" w:space="0" w:color="auto"/>
              <w:right w:val="single" w:sz="4" w:space="0" w:color="auto"/>
            </w:tcBorders>
          </w:tcPr>
          <w:p w14:paraId="407E4886"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11%</w:t>
            </w:r>
          </w:p>
        </w:tc>
        <w:tc>
          <w:tcPr>
            <w:tcW w:w="1230" w:type="dxa"/>
            <w:tcBorders>
              <w:top w:val="single" w:sz="4" w:space="0" w:color="auto"/>
              <w:left w:val="nil"/>
              <w:bottom w:val="single" w:sz="4" w:space="0" w:color="auto"/>
              <w:right w:val="single" w:sz="4" w:space="0" w:color="auto"/>
            </w:tcBorders>
          </w:tcPr>
          <w:p w14:paraId="47B119F7"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84.5%</w:t>
            </w:r>
          </w:p>
        </w:tc>
        <w:tc>
          <w:tcPr>
            <w:tcW w:w="925" w:type="dxa"/>
            <w:gridSpan w:val="2"/>
            <w:tcBorders>
              <w:top w:val="single" w:sz="4" w:space="0" w:color="auto"/>
              <w:left w:val="nil"/>
              <w:bottom w:val="single" w:sz="4" w:space="0" w:color="auto"/>
              <w:right w:val="single" w:sz="4" w:space="0" w:color="auto"/>
            </w:tcBorders>
          </w:tcPr>
          <w:p w14:paraId="703DF809"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26</w:t>
            </w:r>
          </w:p>
        </w:tc>
        <w:tc>
          <w:tcPr>
            <w:tcW w:w="928" w:type="dxa"/>
            <w:tcBorders>
              <w:top w:val="single" w:sz="4" w:space="0" w:color="auto"/>
              <w:left w:val="nil"/>
              <w:bottom w:val="single" w:sz="4" w:space="0" w:color="auto"/>
              <w:right w:val="single" w:sz="4" w:space="0" w:color="auto"/>
            </w:tcBorders>
          </w:tcPr>
          <w:p w14:paraId="14617346"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08</w:t>
            </w:r>
          </w:p>
        </w:tc>
        <w:tc>
          <w:tcPr>
            <w:tcW w:w="1017" w:type="dxa"/>
            <w:tcBorders>
              <w:top w:val="single" w:sz="4" w:space="0" w:color="auto"/>
              <w:left w:val="nil"/>
              <w:bottom w:val="single" w:sz="4" w:space="0" w:color="auto"/>
              <w:right w:val="nil"/>
            </w:tcBorders>
          </w:tcPr>
          <w:p w14:paraId="798FFD99"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72.7%</w:t>
            </w:r>
          </w:p>
        </w:tc>
        <w:tc>
          <w:tcPr>
            <w:tcW w:w="239" w:type="dxa"/>
            <w:tcBorders>
              <w:top w:val="single" w:sz="4" w:space="0" w:color="auto"/>
              <w:left w:val="nil"/>
              <w:bottom w:val="single" w:sz="4" w:space="0" w:color="auto"/>
              <w:right w:val="single" w:sz="4" w:space="0" w:color="auto"/>
            </w:tcBorders>
          </w:tcPr>
          <w:p w14:paraId="2400C720"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tcPr>
          <w:p w14:paraId="4CE3E9DF"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03</w:t>
            </w:r>
          </w:p>
        </w:tc>
        <w:tc>
          <w:tcPr>
            <w:tcW w:w="630" w:type="dxa"/>
            <w:tcBorders>
              <w:top w:val="single" w:sz="4" w:space="0" w:color="auto"/>
              <w:left w:val="nil"/>
              <w:bottom w:val="single" w:sz="4" w:space="0" w:color="auto"/>
              <w:right w:val="single" w:sz="4" w:space="0" w:color="auto"/>
            </w:tcBorders>
          </w:tcPr>
          <w:p w14:paraId="5E8FE248"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27.2%</w:t>
            </w:r>
          </w:p>
        </w:tc>
        <w:tc>
          <w:tcPr>
            <w:tcW w:w="990" w:type="dxa"/>
            <w:tcBorders>
              <w:top w:val="single" w:sz="4" w:space="0" w:color="auto"/>
              <w:left w:val="nil"/>
              <w:bottom w:val="single" w:sz="4" w:space="0" w:color="auto"/>
              <w:right w:val="single" w:sz="4" w:space="0" w:color="auto"/>
            </w:tcBorders>
          </w:tcPr>
          <w:p w14:paraId="50E8CEEE" w14:textId="4CBC5F4D"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03</w:t>
            </w:r>
          </w:p>
        </w:tc>
        <w:tc>
          <w:tcPr>
            <w:tcW w:w="1080" w:type="dxa"/>
            <w:tcBorders>
              <w:top w:val="single" w:sz="4" w:space="0" w:color="auto"/>
              <w:left w:val="nil"/>
              <w:bottom w:val="single" w:sz="4" w:space="0" w:color="auto"/>
              <w:right w:val="single" w:sz="4" w:space="0" w:color="auto"/>
            </w:tcBorders>
          </w:tcPr>
          <w:p w14:paraId="2A8192AC" w14:textId="7A2AEB28"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08</w:t>
            </w:r>
          </w:p>
        </w:tc>
        <w:tc>
          <w:tcPr>
            <w:tcW w:w="1080" w:type="dxa"/>
            <w:tcBorders>
              <w:top w:val="single" w:sz="4" w:space="0" w:color="auto"/>
              <w:left w:val="nil"/>
              <w:bottom w:val="single" w:sz="4" w:space="0" w:color="auto"/>
              <w:right w:val="single" w:sz="4" w:space="0" w:color="auto"/>
            </w:tcBorders>
          </w:tcPr>
          <w:p w14:paraId="66B9ED13" w14:textId="170411CC"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72.7%</w:t>
            </w:r>
          </w:p>
        </w:tc>
      </w:tr>
      <w:tr w:rsidR="00125F27" w:rsidRPr="00634E96" w14:paraId="42B00BCD" w14:textId="63EBAD10" w:rsidTr="00125F27">
        <w:trPr>
          <w:trHeight w:val="344"/>
        </w:trPr>
        <w:tc>
          <w:tcPr>
            <w:tcW w:w="985" w:type="dxa"/>
            <w:tcBorders>
              <w:top w:val="single" w:sz="4" w:space="0" w:color="auto"/>
              <w:left w:val="single" w:sz="4" w:space="0" w:color="auto"/>
              <w:bottom w:val="single" w:sz="4" w:space="0" w:color="auto"/>
              <w:right w:val="single" w:sz="4" w:space="0" w:color="auto"/>
            </w:tcBorders>
          </w:tcPr>
          <w:p w14:paraId="47417861"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BTO</w:t>
            </w:r>
          </w:p>
        </w:tc>
        <w:tc>
          <w:tcPr>
            <w:tcW w:w="1170" w:type="dxa"/>
            <w:tcBorders>
              <w:top w:val="single" w:sz="4" w:space="0" w:color="auto"/>
              <w:left w:val="single" w:sz="4" w:space="0" w:color="auto"/>
              <w:bottom w:val="single" w:sz="4" w:space="0" w:color="auto"/>
              <w:right w:val="single" w:sz="4" w:space="0" w:color="auto"/>
            </w:tcBorders>
          </w:tcPr>
          <w:p w14:paraId="35B3F768"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13</w:t>
            </w:r>
          </w:p>
        </w:tc>
        <w:tc>
          <w:tcPr>
            <w:tcW w:w="1080" w:type="dxa"/>
            <w:tcBorders>
              <w:top w:val="single" w:sz="4" w:space="0" w:color="auto"/>
              <w:left w:val="nil"/>
              <w:bottom w:val="single" w:sz="4" w:space="0" w:color="auto"/>
              <w:right w:val="single" w:sz="4" w:space="0" w:color="auto"/>
            </w:tcBorders>
          </w:tcPr>
          <w:p w14:paraId="54272646"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05</w:t>
            </w:r>
          </w:p>
        </w:tc>
        <w:tc>
          <w:tcPr>
            <w:tcW w:w="853" w:type="dxa"/>
            <w:tcBorders>
              <w:top w:val="single" w:sz="4" w:space="0" w:color="auto"/>
              <w:left w:val="nil"/>
              <w:bottom w:val="single" w:sz="4" w:space="0" w:color="auto"/>
              <w:right w:val="single" w:sz="4" w:space="0" w:color="auto"/>
            </w:tcBorders>
          </w:tcPr>
          <w:p w14:paraId="7CF42EE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85%</w:t>
            </w:r>
          </w:p>
        </w:tc>
        <w:tc>
          <w:tcPr>
            <w:tcW w:w="928" w:type="dxa"/>
            <w:tcBorders>
              <w:top w:val="single" w:sz="4" w:space="0" w:color="auto"/>
              <w:left w:val="nil"/>
              <w:bottom w:val="single" w:sz="4" w:space="0" w:color="auto"/>
              <w:right w:val="single" w:sz="4" w:space="0" w:color="auto"/>
            </w:tcBorders>
          </w:tcPr>
          <w:p w14:paraId="3EB9690E"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01</w:t>
            </w:r>
          </w:p>
        </w:tc>
        <w:tc>
          <w:tcPr>
            <w:tcW w:w="759" w:type="dxa"/>
            <w:tcBorders>
              <w:top w:val="single" w:sz="4" w:space="0" w:color="auto"/>
              <w:left w:val="nil"/>
              <w:bottom w:val="single" w:sz="4" w:space="0" w:color="auto"/>
              <w:right w:val="single" w:sz="4" w:space="0" w:color="auto"/>
            </w:tcBorders>
          </w:tcPr>
          <w:p w14:paraId="6A001D05"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16%</w:t>
            </w:r>
          </w:p>
        </w:tc>
        <w:tc>
          <w:tcPr>
            <w:tcW w:w="1230" w:type="dxa"/>
            <w:tcBorders>
              <w:top w:val="single" w:sz="4" w:space="0" w:color="auto"/>
              <w:left w:val="nil"/>
              <w:bottom w:val="single" w:sz="4" w:space="0" w:color="auto"/>
              <w:right w:val="single" w:sz="4" w:space="0" w:color="auto"/>
            </w:tcBorders>
          </w:tcPr>
          <w:p w14:paraId="216627FA" w14:textId="77777777" w:rsidR="00125F27" w:rsidRPr="00634E96" w:rsidRDefault="00125F27" w:rsidP="00125F27">
            <w:pPr>
              <w:jc w:val="right"/>
              <w:rPr>
                <w:rFonts w:ascii="Arial" w:hAnsi="Arial" w:cs="Arial"/>
                <w:b/>
                <w:color w:val="000000"/>
                <w:sz w:val="16"/>
                <w:szCs w:val="16"/>
              </w:rPr>
            </w:pPr>
            <w:r w:rsidRPr="00634E96">
              <w:rPr>
                <w:rFonts w:ascii="Arial" w:hAnsi="Arial" w:cs="Arial"/>
                <w:b/>
                <w:color w:val="000000"/>
                <w:sz w:val="16"/>
                <w:szCs w:val="16"/>
              </w:rPr>
              <w:t>92%</w:t>
            </w:r>
          </w:p>
        </w:tc>
        <w:tc>
          <w:tcPr>
            <w:tcW w:w="925" w:type="dxa"/>
            <w:gridSpan w:val="2"/>
            <w:tcBorders>
              <w:top w:val="single" w:sz="4" w:space="0" w:color="auto"/>
              <w:left w:val="nil"/>
              <w:bottom w:val="single" w:sz="4" w:space="0" w:color="auto"/>
              <w:right w:val="single" w:sz="4" w:space="0" w:color="auto"/>
            </w:tcBorders>
          </w:tcPr>
          <w:p w14:paraId="67186F85" w14:textId="491189B7"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16</w:t>
            </w:r>
          </w:p>
        </w:tc>
        <w:tc>
          <w:tcPr>
            <w:tcW w:w="928" w:type="dxa"/>
            <w:tcBorders>
              <w:top w:val="single" w:sz="4" w:space="0" w:color="auto"/>
              <w:left w:val="nil"/>
              <w:bottom w:val="single" w:sz="4" w:space="0" w:color="auto"/>
              <w:right w:val="single" w:sz="4" w:space="0" w:color="auto"/>
            </w:tcBorders>
          </w:tcPr>
          <w:p w14:paraId="2F7B2905" w14:textId="7BFB8843"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08</w:t>
            </w:r>
          </w:p>
        </w:tc>
        <w:tc>
          <w:tcPr>
            <w:tcW w:w="1017" w:type="dxa"/>
            <w:tcBorders>
              <w:top w:val="single" w:sz="4" w:space="0" w:color="auto"/>
              <w:left w:val="nil"/>
              <w:bottom w:val="single" w:sz="4" w:space="0" w:color="auto"/>
              <w:right w:val="nil"/>
            </w:tcBorders>
          </w:tcPr>
          <w:p w14:paraId="22E16748" w14:textId="1BF43DF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100%</w:t>
            </w:r>
          </w:p>
        </w:tc>
        <w:tc>
          <w:tcPr>
            <w:tcW w:w="239" w:type="dxa"/>
            <w:tcBorders>
              <w:top w:val="single" w:sz="4" w:space="0" w:color="auto"/>
              <w:left w:val="nil"/>
              <w:bottom w:val="single" w:sz="4" w:space="0" w:color="auto"/>
              <w:right w:val="single" w:sz="4" w:space="0" w:color="auto"/>
            </w:tcBorders>
          </w:tcPr>
          <w:p w14:paraId="3C43ED0E"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tcPr>
          <w:p w14:paraId="14E9F8E5" w14:textId="4F6F2F39"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w:t>
            </w:r>
          </w:p>
        </w:tc>
        <w:tc>
          <w:tcPr>
            <w:tcW w:w="630" w:type="dxa"/>
            <w:tcBorders>
              <w:top w:val="single" w:sz="4" w:space="0" w:color="auto"/>
              <w:left w:val="nil"/>
              <w:bottom w:val="single" w:sz="4" w:space="0" w:color="auto"/>
              <w:right w:val="single" w:sz="4" w:space="0" w:color="auto"/>
            </w:tcBorders>
          </w:tcPr>
          <w:p w14:paraId="6EFE359E" w14:textId="7CE66833"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w:t>
            </w:r>
          </w:p>
        </w:tc>
        <w:tc>
          <w:tcPr>
            <w:tcW w:w="990" w:type="dxa"/>
            <w:tcBorders>
              <w:top w:val="single" w:sz="4" w:space="0" w:color="auto"/>
              <w:left w:val="nil"/>
              <w:bottom w:val="single" w:sz="4" w:space="0" w:color="auto"/>
              <w:right w:val="single" w:sz="4" w:space="0" w:color="auto"/>
            </w:tcBorders>
          </w:tcPr>
          <w:p w14:paraId="295BD2BB" w14:textId="79C35A36"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w:t>
            </w:r>
          </w:p>
        </w:tc>
        <w:tc>
          <w:tcPr>
            <w:tcW w:w="1080" w:type="dxa"/>
            <w:tcBorders>
              <w:top w:val="single" w:sz="4" w:space="0" w:color="auto"/>
              <w:left w:val="nil"/>
              <w:bottom w:val="single" w:sz="4" w:space="0" w:color="auto"/>
              <w:right w:val="single" w:sz="4" w:space="0" w:color="auto"/>
            </w:tcBorders>
          </w:tcPr>
          <w:p w14:paraId="06264D67" w14:textId="1E732388"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08</w:t>
            </w:r>
          </w:p>
        </w:tc>
        <w:tc>
          <w:tcPr>
            <w:tcW w:w="1080" w:type="dxa"/>
            <w:tcBorders>
              <w:top w:val="single" w:sz="4" w:space="0" w:color="auto"/>
              <w:left w:val="nil"/>
              <w:bottom w:val="single" w:sz="4" w:space="0" w:color="auto"/>
              <w:right w:val="single" w:sz="4" w:space="0" w:color="auto"/>
            </w:tcBorders>
          </w:tcPr>
          <w:p w14:paraId="635B368C" w14:textId="122B7EB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100%</w:t>
            </w:r>
          </w:p>
        </w:tc>
      </w:tr>
      <w:tr w:rsidR="00125F27" w:rsidRPr="00634E96" w14:paraId="498903F7" w14:textId="76C28EF9" w:rsidTr="00125F27">
        <w:trPr>
          <w:trHeight w:val="344"/>
        </w:trPr>
        <w:tc>
          <w:tcPr>
            <w:tcW w:w="985" w:type="dxa"/>
            <w:tcBorders>
              <w:top w:val="single" w:sz="4" w:space="0" w:color="auto"/>
              <w:left w:val="single" w:sz="4" w:space="0" w:color="auto"/>
              <w:bottom w:val="single" w:sz="4" w:space="0" w:color="auto"/>
              <w:right w:val="single" w:sz="4" w:space="0" w:color="auto"/>
            </w:tcBorders>
          </w:tcPr>
          <w:p w14:paraId="76C19654" w14:textId="77777777" w:rsidR="00125F27" w:rsidRPr="00634E96" w:rsidRDefault="00125F27" w:rsidP="00125F27">
            <w:pPr>
              <w:rPr>
                <w:rFonts w:ascii="Arial" w:hAnsi="Arial" w:cs="Arial"/>
                <w:b/>
                <w:color w:val="000000"/>
                <w:sz w:val="16"/>
                <w:szCs w:val="16"/>
              </w:rPr>
            </w:pPr>
            <w:r w:rsidRPr="00634E96">
              <w:rPr>
                <w:rFonts w:ascii="Arial" w:hAnsi="Arial" w:cs="Arial"/>
                <w:b/>
                <w:color w:val="000000"/>
                <w:sz w:val="16"/>
                <w:szCs w:val="16"/>
              </w:rPr>
              <w:t>OVERALL</w:t>
            </w:r>
          </w:p>
        </w:tc>
        <w:tc>
          <w:tcPr>
            <w:tcW w:w="1170" w:type="dxa"/>
            <w:tcBorders>
              <w:top w:val="single" w:sz="4" w:space="0" w:color="auto"/>
              <w:left w:val="single" w:sz="4" w:space="0" w:color="auto"/>
              <w:bottom w:val="single" w:sz="4" w:space="0" w:color="auto"/>
              <w:right w:val="single" w:sz="4" w:space="0" w:color="auto"/>
            </w:tcBorders>
          </w:tcPr>
          <w:p w14:paraId="7BB11311" w14:textId="43C47474" w:rsidR="00125F27" w:rsidRPr="00634E96" w:rsidRDefault="00125F27" w:rsidP="00125F27">
            <w:pPr>
              <w:rPr>
                <w:rFonts w:ascii="Arial" w:hAnsi="Arial" w:cs="Arial"/>
                <w:b/>
                <w:color w:val="000000"/>
                <w:sz w:val="16"/>
                <w:szCs w:val="16"/>
              </w:rPr>
            </w:pPr>
            <w:r>
              <w:rPr>
                <w:rFonts w:ascii="Arial" w:hAnsi="Arial" w:cs="Arial"/>
                <w:b/>
                <w:color w:val="000000"/>
                <w:sz w:val="16"/>
                <w:szCs w:val="16"/>
              </w:rPr>
              <w:t>91</w:t>
            </w:r>
          </w:p>
        </w:tc>
        <w:tc>
          <w:tcPr>
            <w:tcW w:w="1080" w:type="dxa"/>
            <w:tcBorders>
              <w:top w:val="single" w:sz="4" w:space="0" w:color="auto"/>
              <w:left w:val="nil"/>
              <w:bottom w:val="single" w:sz="4" w:space="0" w:color="auto"/>
              <w:right w:val="single" w:sz="4" w:space="0" w:color="auto"/>
            </w:tcBorders>
          </w:tcPr>
          <w:p w14:paraId="53356B6F" w14:textId="4F23002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48</w:t>
            </w:r>
          </w:p>
        </w:tc>
        <w:tc>
          <w:tcPr>
            <w:tcW w:w="853" w:type="dxa"/>
            <w:tcBorders>
              <w:top w:val="single" w:sz="4" w:space="0" w:color="auto"/>
              <w:left w:val="nil"/>
              <w:bottom w:val="single" w:sz="4" w:space="0" w:color="auto"/>
              <w:right w:val="single" w:sz="4" w:space="0" w:color="auto"/>
            </w:tcBorders>
          </w:tcPr>
          <w:p w14:paraId="43676FB2" w14:textId="05645375"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85.7%</w:t>
            </w:r>
          </w:p>
        </w:tc>
        <w:tc>
          <w:tcPr>
            <w:tcW w:w="928" w:type="dxa"/>
            <w:tcBorders>
              <w:top w:val="single" w:sz="4" w:space="0" w:color="auto"/>
              <w:left w:val="nil"/>
              <w:bottom w:val="single" w:sz="4" w:space="0" w:color="auto"/>
              <w:right w:val="single" w:sz="4" w:space="0" w:color="auto"/>
            </w:tcBorders>
          </w:tcPr>
          <w:p w14:paraId="7234C87E" w14:textId="6DAEB54C"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13</w:t>
            </w:r>
          </w:p>
        </w:tc>
        <w:tc>
          <w:tcPr>
            <w:tcW w:w="759" w:type="dxa"/>
            <w:tcBorders>
              <w:top w:val="single" w:sz="4" w:space="0" w:color="auto"/>
              <w:left w:val="nil"/>
              <w:bottom w:val="single" w:sz="4" w:space="0" w:color="auto"/>
              <w:right w:val="single" w:sz="4" w:space="0" w:color="auto"/>
            </w:tcBorders>
          </w:tcPr>
          <w:p w14:paraId="6DFC78E4" w14:textId="4A9A326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18.9%</w:t>
            </w:r>
          </w:p>
        </w:tc>
        <w:tc>
          <w:tcPr>
            <w:tcW w:w="1230" w:type="dxa"/>
            <w:tcBorders>
              <w:top w:val="single" w:sz="4" w:space="0" w:color="auto"/>
              <w:left w:val="nil"/>
              <w:bottom w:val="single" w:sz="4" w:space="0" w:color="auto"/>
              <w:right w:val="single" w:sz="4" w:space="0" w:color="auto"/>
            </w:tcBorders>
          </w:tcPr>
          <w:p w14:paraId="09B6AB0F" w14:textId="47976CAE"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96%</w:t>
            </w:r>
          </w:p>
        </w:tc>
        <w:tc>
          <w:tcPr>
            <w:tcW w:w="925" w:type="dxa"/>
            <w:gridSpan w:val="2"/>
            <w:tcBorders>
              <w:top w:val="single" w:sz="4" w:space="0" w:color="auto"/>
              <w:left w:val="nil"/>
              <w:bottom w:val="single" w:sz="4" w:space="0" w:color="auto"/>
              <w:right w:val="single" w:sz="4" w:space="0" w:color="auto"/>
            </w:tcBorders>
          </w:tcPr>
          <w:p w14:paraId="3FCD050A" w14:textId="07CDCB88"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94</w:t>
            </w:r>
          </w:p>
        </w:tc>
        <w:tc>
          <w:tcPr>
            <w:tcW w:w="928" w:type="dxa"/>
            <w:tcBorders>
              <w:top w:val="single" w:sz="4" w:space="0" w:color="auto"/>
              <w:left w:val="nil"/>
              <w:bottom w:val="single" w:sz="4" w:space="0" w:color="auto"/>
              <w:right w:val="single" w:sz="4" w:space="0" w:color="auto"/>
            </w:tcBorders>
          </w:tcPr>
          <w:p w14:paraId="37471904" w14:textId="42A8C672"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45</w:t>
            </w:r>
          </w:p>
        </w:tc>
        <w:tc>
          <w:tcPr>
            <w:tcW w:w="1017" w:type="dxa"/>
            <w:tcBorders>
              <w:top w:val="single" w:sz="4" w:space="0" w:color="auto"/>
              <w:left w:val="nil"/>
              <w:bottom w:val="single" w:sz="4" w:space="0" w:color="auto"/>
              <w:right w:val="nil"/>
            </w:tcBorders>
          </w:tcPr>
          <w:p w14:paraId="3D9773C3" w14:textId="0AF8ABE2"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80.3 %</w:t>
            </w:r>
          </w:p>
        </w:tc>
        <w:tc>
          <w:tcPr>
            <w:tcW w:w="239" w:type="dxa"/>
            <w:tcBorders>
              <w:top w:val="single" w:sz="4" w:space="0" w:color="auto"/>
              <w:left w:val="nil"/>
              <w:bottom w:val="single" w:sz="4" w:space="0" w:color="auto"/>
              <w:right w:val="single" w:sz="4" w:space="0" w:color="auto"/>
            </w:tcBorders>
          </w:tcPr>
          <w:p w14:paraId="7640DA5A" w14:textId="77777777" w:rsidR="00125F27" w:rsidRPr="00634E96" w:rsidRDefault="00125F27" w:rsidP="00125F27">
            <w:pPr>
              <w:jc w:val="right"/>
              <w:rPr>
                <w:rFonts w:ascii="Arial" w:hAnsi="Arial" w:cs="Arial"/>
                <w:b/>
                <w:color w:val="000000"/>
                <w:sz w:val="16"/>
                <w:szCs w:val="16"/>
              </w:rPr>
            </w:pPr>
          </w:p>
        </w:tc>
        <w:tc>
          <w:tcPr>
            <w:tcW w:w="861" w:type="dxa"/>
            <w:tcBorders>
              <w:top w:val="single" w:sz="4" w:space="0" w:color="auto"/>
              <w:left w:val="nil"/>
              <w:bottom w:val="single" w:sz="4" w:space="0" w:color="auto"/>
              <w:right w:val="single" w:sz="4" w:space="0" w:color="auto"/>
            </w:tcBorders>
          </w:tcPr>
          <w:p w14:paraId="310598B8" w14:textId="61627665"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11</w:t>
            </w:r>
          </w:p>
        </w:tc>
        <w:tc>
          <w:tcPr>
            <w:tcW w:w="630" w:type="dxa"/>
            <w:tcBorders>
              <w:top w:val="single" w:sz="4" w:space="0" w:color="auto"/>
              <w:left w:val="nil"/>
              <w:bottom w:val="single" w:sz="4" w:space="0" w:color="auto"/>
              <w:right w:val="single" w:sz="4" w:space="0" w:color="auto"/>
            </w:tcBorders>
          </w:tcPr>
          <w:p w14:paraId="3EC0A595" w14:textId="1BBCFD66"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19.6%</w:t>
            </w:r>
          </w:p>
        </w:tc>
        <w:tc>
          <w:tcPr>
            <w:tcW w:w="990" w:type="dxa"/>
            <w:tcBorders>
              <w:top w:val="single" w:sz="4" w:space="0" w:color="auto"/>
              <w:left w:val="nil"/>
              <w:bottom w:val="single" w:sz="4" w:space="0" w:color="auto"/>
              <w:right w:val="single" w:sz="4" w:space="0" w:color="auto"/>
            </w:tcBorders>
            <w:shd w:val="clear" w:color="auto" w:fill="auto"/>
          </w:tcPr>
          <w:p w14:paraId="7F9D1DB1" w14:textId="45344B3C"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14</w:t>
            </w:r>
          </w:p>
        </w:tc>
        <w:tc>
          <w:tcPr>
            <w:tcW w:w="1080" w:type="dxa"/>
            <w:tcBorders>
              <w:top w:val="single" w:sz="4" w:space="0" w:color="auto"/>
              <w:left w:val="nil"/>
              <w:bottom w:val="single" w:sz="4" w:space="0" w:color="auto"/>
              <w:right w:val="single" w:sz="4" w:space="0" w:color="auto"/>
            </w:tcBorders>
            <w:shd w:val="clear" w:color="auto" w:fill="auto"/>
          </w:tcPr>
          <w:p w14:paraId="1F0B6CEC" w14:textId="3DBF76BA" w:rsidR="00125F27" w:rsidRPr="00634E96" w:rsidRDefault="00125F27" w:rsidP="00125F27">
            <w:pPr>
              <w:jc w:val="right"/>
              <w:rPr>
                <w:rFonts w:ascii="Arial" w:hAnsi="Arial" w:cs="Arial"/>
                <w:b/>
                <w:color w:val="000000"/>
                <w:sz w:val="16"/>
                <w:szCs w:val="16"/>
              </w:rPr>
            </w:pPr>
            <w:r>
              <w:rPr>
                <w:rFonts w:ascii="Arial" w:hAnsi="Arial" w:cs="Arial"/>
                <w:b/>
                <w:color w:val="000000"/>
                <w:sz w:val="16"/>
                <w:szCs w:val="16"/>
              </w:rPr>
              <w:t>50</w:t>
            </w:r>
          </w:p>
        </w:tc>
        <w:tc>
          <w:tcPr>
            <w:tcW w:w="1080" w:type="dxa"/>
            <w:tcBorders>
              <w:top w:val="single" w:sz="4" w:space="0" w:color="auto"/>
              <w:left w:val="nil"/>
              <w:bottom w:val="single" w:sz="4" w:space="0" w:color="auto"/>
              <w:right w:val="single" w:sz="4" w:space="0" w:color="auto"/>
            </w:tcBorders>
            <w:shd w:val="clear" w:color="auto" w:fill="auto"/>
          </w:tcPr>
          <w:p w14:paraId="20F3DA86" w14:textId="09701A48" w:rsidR="00125F27" w:rsidRPr="00634E96" w:rsidRDefault="00B07F53" w:rsidP="00125F27">
            <w:pPr>
              <w:jc w:val="right"/>
              <w:rPr>
                <w:rFonts w:ascii="Arial" w:hAnsi="Arial" w:cs="Arial"/>
                <w:b/>
                <w:color w:val="000000"/>
                <w:sz w:val="16"/>
                <w:szCs w:val="16"/>
              </w:rPr>
            </w:pPr>
            <w:r>
              <w:rPr>
                <w:rFonts w:ascii="Arial" w:hAnsi="Arial" w:cs="Arial"/>
                <w:b/>
                <w:color w:val="000000"/>
                <w:sz w:val="16"/>
                <w:szCs w:val="16"/>
              </w:rPr>
              <w:t>84.7</w:t>
            </w:r>
            <w:r w:rsidR="00125F27">
              <w:rPr>
                <w:rFonts w:ascii="Arial" w:hAnsi="Arial" w:cs="Arial"/>
                <w:b/>
                <w:color w:val="000000"/>
                <w:sz w:val="16"/>
                <w:szCs w:val="16"/>
              </w:rPr>
              <w:t>%</w:t>
            </w:r>
          </w:p>
        </w:tc>
      </w:tr>
    </w:tbl>
    <w:p w14:paraId="275020EE" w14:textId="77777777" w:rsidR="00B14A09" w:rsidRDefault="00B14A09" w:rsidP="00385F9B">
      <w:pPr>
        <w:jc w:val="both"/>
        <w:rPr>
          <w:rFonts w:ascii="Arial" w:hAnsi="Arial" w:cs="Arial"/>
          <w:b/>
          <w:bCs/>
          <w:sz w:val="20"/>
          <w:szCs w:val="20"/>
        </w:rPr>
      </w:pPr>
    </w:p>
    <w:p w14:paraId="039FBDAE" w14:textId="1461254D" w:rsidR="006B5512" w:rsidRDefault="006B5512" w:rsidP="00385F9B">
      <w:pPr>
        <w:jc w:val="both"/>
        <w:rPr>
          <w:rFonts w:ascii="Arial" w:hAnsi="Arial" w:cs="Arial"/>
          <w:b/>
          <w:bCs/>
          <w:sz w:val="20"/>
          <w:szCs w:val="20"/>
        </w:rPr>
      </w:pPr>
    </w:p>
    <w:p w14:paraId="4F97F3E6" w14:textId="77777777" w:rsidR="00634E96" w:rsidRDefault="00634E96" w:rsidP="00385F9B">
      <w:pPr>
        <w:jc w:val="both"/>
        <w:rPr>
          <w:rFonts w:ascii="Arial" w:hAnsi="Arial" w:cs="Arial"/>
          <w:b/>
          <w:bCs/>
          <w:sz w:val="20"/>
          <w:szCs w:val="20"/>
        </w:rPr>
        <w:sectPr w:rsidR="00634E96" w:rsidSect="00634E96">
          <w:pgSz w:w="16838" w:h="11906" w:orient="landscape"/>
          <w:pgMar w:top="1440" w:right="1440" w:bottom="1440" w:left="1440" w:header="706" w:footer="706" w:gutter="0"/>
          <w:cols w:space="708"/>
          <w:docGrid w:linePitch="360"/>
        </w:sectPr>
      </w:pPr>
    </w:p>
    <w:p w14:paraId="6DE0BBDC" w14:textId="5C33F056" w:rsidR="006B5512" w:rsidRDefault="006B5512" w:rsidP="00385F9B">
      <w:pPr>
        <w:jc w:val="both"/>
        <w:rPr>
          <w:rFonts w:ascii="Arial" w:hAnsi="Arial" w:cs="Arial"/>
          <w:b/>
          <w:bCs/>
          <w:sz w:val="20"/>
          <w:szCs w:val="20"/>
        </w:rPr>
      </w:pPr>
    </w:p>
    <w:p w14:paraId="7048D03E" w14:textId="77777777" w:rsidR="00AF2CC4" w:rsidRDefault="00AF2CC4" w:rsidP="00385F9B">
      <w:pPr>
        <w:jc w:val="both"/>
        <w:rPr>
          <w:rFonts w:ascii="Arial" w:hAnsi="Arial" w:cs="Arial"/>
          <w:b/>
          <w:bCs/>
          <w:sz w:val="20"/>
          <w:szCs w:val="20"/>
        </w:rPr>
        <w:sectPr w:rsidR="00AF2CC4" w:rsidSect="00AF2CC4">
          <w:pgSz w:w="16838" w:h="11906" w:orient="landscape"/>
          <w:pgMar w:top="1440" w:right="1440" w:bottom="1440" w:left="1440" w:header="706" w:footer="706" w:gutter="0"/>
          <w:cols w:space="708"/>
          <w:docGrid w:linePitch="360"/>
        </w:sectPr>
      </w:pPr>
    </w:p>
    <w:p w14:paraId="095A544F" w14:textId="01C279B5" w:rsidR="00633D9F" w:rsidRDefault="00CC2032" w:rsidP="006A6A16">
      <w:pPr>
        <w:pStyle w:val="Heading1"/>
        <w:rPr>
          <w:rFonts w:ascii="Arial" w:hAnsi="Arial" w:cs="Arial"/>
          <w:b/>
          <w:bCs/>
          <w:sz w:val="20"/>
          <w:szCs w:val="20"/>
        </w:rPr>
      </w:pPr>
      <w:bookmarkStart w:id="226" w:name="_Toc61962850"/>
      <w:r>
        <w:rPr>
          <w:rFonts w:ascii="Arial" w:hAnsi="Arial" w:cs="Arial"/>
          <w:b/>
          <w:bCs/>
          <w:sz w:val="20"/>
          <w:szCs w:val="20"/>
        </w:rPr>
        <w:lastRenderedPageBreak/>
        <w:t xml:space="preserve">8. </w:t>
      </w:r>
      <w:r w:rsidR="00633D9F" w:rsidRPr="00385F9B">
        <w:rPr>
          <w:rFonts w:ascii="Arial" w:hAnsi="Arial" w:cs="Arial"/>
          <w:b/>
          <w:bCs/>
          <w:sz w:val="20"/>
          <w:szCs w:val="20"/>
        </w:rPr>
        <w:t>SUMMARY AND CHALLENGES</w:t>
      </w:r>
      <w:bookmarkEnd w:id="226"/>
      <w:r w:rsidR="00633D9F" w:rsidRPr="00385F9B">
        <w:rPr>
          <w:rFonts w:ascii="Arial" w:hAnsi="Arial" w:cs="Arial"/>
          <w:b/>
          <w:bCs/>
          <w:sz w:val="20"/>
          <w:szCs w:val="20"/>
        </w:rPr>
        <w:t xml:space="preserve"> </w:t>
      </w:r>
    </w:p>
    <w:p w14:paraId="7163AC55" w14:textId="77777777" w:rsidR="00385F9B" w:rsidRPr="00385F9B" w:rsidRDefault="00385F9B" w:rsidP="00385F9B">
      <w:pPr>
        <w:jc w:val="both"/>
        <w:rPr>
          <w:rFonts w:ascii="Arial" w:hAnsi="Arial" w:cs="Arial"/>
          <w:b/>
          <w:bCs/>
          <w:sz w:val="20"/>
          <w:szCs w:val="20"/>
        </w:rPr>
      </w:pPr>
    </w:p>
    <w:p w14:paraId="69610CC0" w14:textId="5DFD8BE0" w:rsidR="00633D9F" w:rsidRPr="005B3AB4" w:rsidRDefault="00633D9F" w:rsidP="00385F9B">
      <w:pPr>
        <w:jc w:val="both"/>
        <w:rPr>
          <w:rFonts w:ascii="Arial" w:hAnsi="Arial" w:cs="Arial"/>
          <w:color w:val="000000" w:themeColor="text1"/>
          <w:sz w:val="20"/>
          <w:szCs w:val="20"/>
        </w:rPr>
      </w:pPr>
      <w:r w:rsidRPr="00385F9B">
        <w:rPr>
          <w:rFonts w:ascii="Arial" w:hAnsi="Arial" w:cs="Arial"/>
          <w:sz w:val="20"/>
          <w:szCs w:val="20"/>
        </w:rPr>
        <w:t xml:space="preserve">Annexure A is the </w:t>
      </w:r>
      <w:r w:rsidR="00352BC5">
        <w:rPr>
          <w:rFonts w:ascii="Arial" w:hAnsi="Arial" w:cs="Arial"/>
          <w:sz w:val="20"/>
          <w:szCs w:val="20"/>
        </w:rPr>
        <w:t>Q2 report from the</w:t>
      </w:r>
      <w:r w:rsidRPr="00385F9B">
        <w:rPr>
          <w:rFonts w:ascii="Arial" w:hAnsi="Arial" w:cs="Arial"/>
          <w:sz w:val="20"/>
          <w:szCs w:val="20"/>
        </w:rPr>
        <w:t xml:space="preserve"> Top Layer SDBIP for the first half of the financial year </w:t>
      </w:r>
      <w:r w:rsidR="00245066">
        <w:rPr>
          <w:rFonts w:ascii="Arial" w:hAnsi="Arial" w:cs="Arial"/>
          <w:sz w:val="20"/>
          <w:szCs w:val="20"/>
        </w:rPr>
        <w:t>2020/21 ending 31 December 2020</w:t>
      </w:r>
      <w:r w:rsidRPr="00385F9B">
        <w:rPr>
          <w:rFonts w:ascii="Arial" w:hAnsi="Arial" w:cs="Arial"/>
          <w:sz w:val="20"/>
          <w:szCs w:val="20"/>
        </w:rPr>
        <w:t xml:space="preserve">, which measures the Municipality’s overall performance per MKPA. The report, furthermore, includes the performance comments and corrective measures indicated for targets not </w:t>
      </w:r>
      <w:r w:rsidRPr="005B3AB4">
        <w:rPr>
          <w:rFonts w:ascii="Arial" w:hAnsi="Arial" w:cs="Arial"/>
          <w:color w:val="000000" w:themeColor="text1"/>
          <w:sz w:val="20"/>
          <w:szCs w:val="20"/>
        </w:rPr>
        <w:t xml:space="preserve">achieved.  </w:t>
      </w:r>
    </w:p>
    <w:p w14:paraId="4B33087A" w14:textId="0B19190B" w:rsidR="00633D9F" w:rsidRPr="005B3AB4" w:rsidRDefault="00633D9F" w:rsidP="00385F9B">
      <w:pPr>
        <w:jc w:val="both"/>
        <w:rPr>
          <w:rFonts w:ascii="Arial" w:hAnsi="Arial" w:cs="Arial"/>
          <w:color w:val="000000" w:themeColor="text1"/>
          <w:sz w:val="20"/>
          <w:szCs w:val="20"/>
        </w:rPr>
      </w:pPr>
      <w:r w:rsidRPr="005B3AB4">
        <w:rPr>
          <w:rFonts w:ascii="Arial" w:hAnsi="Arial" w:cs="Arial"/>
          <w:color w:val="000000" w:themeColor="text1"/>
          <w:sz w:val="20"/>
          <w:szCs w:val="20"/>
        </w:rPr>
        <w:t xml:space="preserve">From the report it is evident that the Municipality is committed to service excellence. </w:t>
      </w:r>
      <w:r w:rsidR="00245066" w:rsidRPr="005B3AB4">
        <w:rPr>
          <w:rFonts w:ascii="Arial" w:hAnsi="Arial" w:cs="Arial"/>
          <w:color w:val="000000" w:themeColor="text1"/>
          <w:sz w:val="20"/>
          <w:szCs w:val="20"/>
        </w:rPr>
        <w:t>The percentage of Key Performance Indicators that were not</w:t>
      </w:r>
      <w:r w:rsidRPr="005B3AB4">
        <w:rPr>
          <w:rFonts w:ascii="Arial" w:hAnsi="Arial" w:cs="Arial"/>
          <w:color w:val="000000" w:themeColor="text1"/>
          <w:sz w:val="20"/>
          <w:szCs w:val="20"/>
        </w:rPr>
        <w:t xml:space="preserve"> achieved</w:t>
      </w:r>
      <w:r w:rsidR="00245066" w:rsidRPr="005B3AB4">
        <w:rPr>
          <w:rFonts w:ascii="Arial" w:hAnsi="Arial" w:cs="Arial"/>
          <w:color w:val="000000" w:themeColor="text1"/>
          <w:sz w:val="20"/>
          <w:szCs w:val="20"/>
        </w:rPr>
        <w:t xml:space="preserve"> in Q2 </w:t>
      </w:r>
      <w:r w:rsidR="005B3AB4" w:rsidRPr="005B3AB4">
        <w:rPr>
          <w:rFonts w:ascii="Arial" w:hAnsi="Arial" w:cs="Arial"/>
          <w:color w:val="000000" w:themeColor="text1"/>
          <w:sz w:val="20"/>
          <w:szCs w:val="20"/>
        </w:rPr>
        <w:t>is</w:t>
      </w:r>
      <w:r w:rsidR="00307538" w:rsidRPr="005B3AB4">
        <w:rPr>
          <w:rFonts w:ascii="Arial" w:hAnsi="Arial" w:cs="Arial"/>
          <w:color w:val="000000" w:themeColor="text1"/>
          <w:sz w:val="20"/>
          <w:szCs w:val="20"/>
        </w:rPr>
        <w:t xml:space="preserve"> 19.6</w:t>
      </w:r>
      <w:r w:rsidRPr="005B3AB4">
        <w:rPr>
          <w:rFonts w:ascii="Arial" w:hAnsi="Arial" w:cs="Arial"/>
          <w:color w:val="000000" w:themeColor="text1"/>
          <w:sz w:val="20"/>
          <w:szCs w:val="20"/>
        </w:rPr>
        <w:t xml:space="preserve">% of the planned targets) due to various reasons cited in this report. However, </w:t>
      </w:r>
      <w:r w:rsidR="00307538" w:rsidRPr="005B3AB4">
        <w:rPr>
          <w:rFonts w:ascii="Arial" w:hAnsi="Arial" w:cs="Arial"/>
          <w:color w:val="000000" w:themeColor="text1"/>
          <w:sz w:val="20"/>
          <w:szCs w:val="20"/>
        </w:rPr>
        <w:t>80.3</w:t>
      </w:r>
      <w:r w:rsidRPr="005B3AB4">
        <w:rPr>
          <w:rFonts w:ascii="Arial" w:hAnsi="Arial" w:cs="Arial"/>
          <w:color w:val="000000" w:themeColor="text1"/>
          <w:sz w:val="20"/>
          <w:szCs w:val="20"/>
        </w:rPr>
        <w:t>% of the planned targets were achieved during th</w:t>
      </w:r>
      <w:r w:rsidR="00352BC5" w:rsidRPr="005B3AB4">
        <w:rPr>
          <w:rFonts w:ascii="Arial" w:hAnsi="Arial" w:cs="Arial"/>
          <w:color w:val="000000" w:themeColor="text1"/>
          <w:sz w:val="20"/>
          <w:szCs w:val="20"/>
        </w:rPr>
        <w:t>e</w:t>
      </w:r>
      <w:r w:rsidRPr="005B3AB4">
        <w:rPr>
          <w:rFonts w:ascii="Arial" w:hAnsi="Arial" w:cs="Arial"/>
          <w:color w:val="000000" w:themeColor="text1"/>
          <w:sz w:val="20"/>
          <w:szCs w:val="20"/>
        </w:rPr>
        <w:t xml:space="preserve"> </w:t>
      </w:r>
      <w:r w:rsidR="00245066" w:rsidRPr="005B3AB4">
        <w:rPr>
          <w:rFonts w:ascii="Arial" w:hAnsi="Arial" w:cs="Arial"/>
          <w:color w:val="000000" w:themeColor="text1"/>
          <w:sz w:val="20"/>
          <w:szCs w:val="20"/>
        </w:rPr>
        <w:t>quarter</w:t>
      </w:r>
      <w:r w:rsidRPr="005B3AB4">
        <w:rPr>
          <w:rFonts w:ascii="Arial" w:hAnsi="Arial" w:cs="Arial"/>
          <w:color w:val="000000" w:themeColor="text1"/>
          <w:sz w:val="20"/>
          <w:szCs w:val="20"/>
        </w:rPr>
        <w:t xml:space="preserve"> </w:t>
      </w:r>
      <w:r w:rsidR="00245066" w:rsidRPr="005B3AB4">
        <w:rPr>
          <w:rFonts w:ascii="Arial" w:hAnsi="Arial" w:cs="Arial"/>
          <w:color w:val="000000" w:themeColor="text1"/>
          <w:sz w:val="20"/>
          <w:szCs w:val="20"/>
        </w:rPr>
        <w:t>Q2 of</w:t>
      </w:r>
      <w:r w:rsidRPr="005B3AB4">
        <w:rPr>
          <w:rFonts w:ascii="Arial" w:hAnsi="Arial" w:cs="Arial"/>
          <w:color w:val="000000" w:themeColor="text1"/>
          <w:sz w:val="20"/>
          <w:szCs w:val="20"/>
        </w:rPr>
        <w:t xml:space="preserve"> </w:t>
      </w:r>
      <w:r w:rsidR="00245066" w:rsidRPr="005B3AB4">
        <w:rPr>
          <w:rFonts w:ascii="Arial" w:hAnsi="Arial" w:cs="Arial"/>
          <w:color w:val="000000" w:themeColor="text1"/>
          <w:sz w:val="20"/>
          <w:szCs w:val="20"/>
        </w:rPr>
        <w:t>2020/21</w:t>
      </w:r>
      <w:r w:rsidRPr="005B3AB4">
        <w:rPr>
          <w:rFonts w:ascii="Arial" w:hAnsi="Arial" w:cs="Arial"/>
          <w:color w:val="000000" w:themeColor="text1"/>
          <w:sz w:val="20"/>
          <w:szCs w:val="20"/>
        </w:rPr>
        <w:t xml:space="preserve"> financial year. </w:t>
      </w:r>
      <w:r w:rsidR="00245066" w:rsidRPr="005B3AB4">
        <w:rPr>
          <w:rFonts w:ascii="Arial" w:hAnsi="Arial" w:cs="Arial"/>
          <w:color w:val="000000" w:themeColor="text1"/>
          <w:sz w:val="20"/>
          <w:szCs w:val="20"/>
        </w:rPr>
        <w:t>The tables above further illustrates that the organisation’s performance for the fi</w:t>
      </w:r>
      <w:r w:rsidR="00307538" w:rsidRPr="005B3AB4">
        <w:rPr>
          <w:rFonts w:ascii="Arial" w:hAnsi="Arial" w:cs="Arial"/>
          <w:color w:val="000000" w:themeColor="text1"/>
          <w:sz w:val="20"/>
          <w:szCs w:val="20"/>
        </w:rPr>
        <w:t>rst six months/ at mid-year is 84.7</w:t>
      </w:r>
      <w:r w:rsidR="00245066" w:rsidRPr="005B3AB4">
        <w:rPr>
          <w:rFonts w:ascii="Arial" w:hAnsi="Arial" w:cs="Arial"/>
          <w:color w:val="000000" w:themeColor="text1"/>
          <w:sz w:val="20"/>
          <w:szCs w:val="20"/>
        </w:rPr>
        <w:t>% which is satisfactory</w:t>
      </w:r>
      <w:r w:rsidRPr="005B3AB4">
        <w:rPr>
          <w:rFonts w:ascii="Arial" w:hAnsi="Arial" w:cs="Arial"/>
          <w:color w:val="000000" w:themeColor="text1"/>
          <w:sz w:val="20"/>
          <w:szCs w:val="20"/>
        </w:rPr>
        <w:t xml:space="preserve"> </w:t>
      </w:r>
      <w:r w:rsidR="00ED17B9" w:rsidRPr="005B3AB4">
        <w:rPr>
          <w:rFonts w:ascii="Arial" w:hAnsi="Arial" w:cs="Arial"/>
          <w:color w:val="000000" w:themeColor="text1"/>
          <w:sz w:val="20"/>
          <w:szCs w:val="20"/>
        </w:rPr>
        <w:t xml:space="preserve"> even though it is lower when</w:t>
      </w:r>
      <w:r w:rsidR="00245066" w:rsidRPr="005B3AB4">
        <w:rPr>
          <w:rFonts w:ascii="Arial" w:hAnsi="Arial" w:cs="Arial"/>
          <w:color w:val="000000" w:themeColor="text1"/>
          <w:sz w:val="20"/>
          <w:szCs w:val="20"/>
        </w:rPr>
        <w:t xml:space="preserve"> compared to the previous financial year’s</w:t>
      </w:r>
      <w:r w:rsidR="00ED17B9" w:rsidRPr="005B3AB4">
        <w:rPr>
          <w:rFonts w:ascii="Arial" w:hAnsi="Arial" w:cs="Arial"/>
          <w:color w:val="000000" w:themeColor="text1"/>
          <w:sz w:val="20"/>
          <w:szCs w:val="20"/>
        </w:rPr>
        <w:t xml:space="preserve"> performance at its</w:t>
      </w:r>
      <w:r w:rsidR="00245066" w:rsidRPr="005B3AB4">
        <w:rPr>
          <w:rFonts w:ascii="Arial" w:hAnsi="Arial" w:cs="Arial"/>
          <w:color w:val="000000" w:themeColor="text1"/>
          <w:sz w:val="20"/>
          <w:szCs w:val="20"/>
        </w:rPr>
        <w:t xml:space="preserve"> first half of the year which was</w:t>
      </w:r>
      <w:r w:rsidR="00ED17B9" w:rsidRPr="005B3AB4">
        <w:rPr>
          <w:rFonts w:ascii="Arial" w:hAnsi="Arial" w:cs="Arial"/>
          <w:color w:val="000000" w:themeColor="text1"/>
          <w:sz w:val="20"/>
          <w:szCs w:val="20"/>
        </w:rPr>
        <w:t xml:space="preserve"> 96%.</w:t>
      </w:r>
      <w:r w:rsidR="00245066" w:rsidRPr="005B3AB4">
        <w:rPr>
          <w:rFonts w:ascii="Arial" w:hAnsi="Arial" w:cs="Arial"/>
          <w:color w:val="000000" w:themeColor="text1"/>
          <w:sz w:val="20"/>
          <w:szCs w:val="20"/>
        </w:rPr>
        <w:t xml:space="preserve"> </w:t>
      </w:r>
      <w:r w:rsidR="005B3AB4" w:rsidRPr="005B3AB4">
        <w:rPr>
          <w:rFonts w:ascii="Arial" w:hAnsi="Arial" w:cs="Arial"/>
          <w:color w:val="000000" w:themeColor="text1"/>
          <w:sz w:val="20"/>
          <w:szCs w:val="20"/>
        </w:rPr>
        <w:t>Of the planned targets 37</w:t>
      </w:r>
      <w:r w:rsidRPr="005B3AB4">
        <w:rPr>
          <w:rFonts w:ascii="Arial" w:hAnsi="Arial" w:cs="Arial"/>
          <w:color w:val="000000" w:themeColor="text1"/>
          <w:sz w:val="20"/>
          <w:szCs w:val="20"/>
        </w:rPr>
        <w:t xml:space="preserve">% were not measured during the first half of the </w:t>
      </w:r>
      <w:r w:rsidR="00ED17B9" w:rsidRPr="005B3AB4">
        <w:rPr>
          <w:rFonts w:ascii="Arial" w:hAnsi="Arial" w:cs="Arial"/>
          <w:color w:val="000000" w:themeColor="text1"/>
          <w:sz w:val="20"/>
          <w:szCs w:val="20"/>
        </w:rPr>
        <w:t>2020/21 financial year as they were not applicable.</w:t>
      </w:r>
      <w:r w:rsidRPr="005B3AB4">
        <w:rPr>
          <w:rFonts w:ascii="Arial" w:hAnsi="Arial" w:cs="Arial"/>
          <w:color w:val="000000" w:themeColor="text1"/>
          <w:sz w:val="20"/>
          <w:szCs w:val="20"/>
        </w:rPr>
        <w:t xml:space="preserve"> Henceforth, the reasons as to why the planned targets have not been achieved will be monitored and measured against the corrective measure recorded in this report. Annexure A provides detail on the reasons where applicable. </w:t>
      </w:r>
    </w:p>
    <w:p w14:paraId="7FD90B48" w14:textId="348C7BA1" w:rsidR="00633D9F" w:rsidRPr="005B3AB4" w:rsidRDefault="00633D9F" w:rsidP="00385F9B">
      <w:pPr>
        <w:jc w:val="both"/>
        <w:rPr>
          <w:rFonts w:ascii="Arial" w:hAnsi="Arial" w:cs="Arial"/>
          <w:color w:val="000000" w:themeColor="text1"/>
          <w:sz w:val="20"/>
          <w:szCs w:val="20"/>
        </w:rPr>
      </w:pPr>
      <w:r w:rsidRPr="005B3AB4">
        <w:rPr>
          <w:rFonts w:ascii="Arial" w:hAnsi="Arial" w:cs="Arial"/>
          <w:color w:val="000000" w:themeColor="text1"/>
          <w:sz w:val="20"/>
          <w:szCs w:val="20"/>
        </w:rPr>
        <w:t>Also, in an effort to build on the Municipality’s past audit achievement relating to the “unqualified audit opinion”, the Municipality will again review its</w:t>
      </w:r>
      <w:r w:rsidR="00ED17B9" w:rsidRPr="005B3AB4">
        <w:rPr>
          <w:rFonts w:ascii="Arial" w:hAnsi="Arial" w:cs="Arial"/>
          <w:color w:val="000000" w:themeColor="text1"/>
          <w:sz w:val="20"/>
          <w:szCs w:val="20"/>
        </w:rPr>
        <w:t xml:space="preserve"> 2020/21 SDBIP </w:t>
      </w:r>
      <w:r w:rsidRPr="005B3AB4">
        <w:rPr>
          <w:rFonts w:ascii="Arial" w:hAnsi="Arial" w:cs="Arial"/>
          <w:color w:val="000000" w:themeColor="text1"/>
          <w:sz w:val="20"/>
          <w:szCs w:val="20"/>
        </w:rPr>
        <w:t>and will submit it to Council f</w:t>
      </w:r>
      <w:r w:rsidR="005B3AB4" w:rsidRPr="005B3AB4">
        <w:rPr>
          <w:rFonts w:ascii="Arial" w:hAnsi="Arial" w:cs="Arial"/>
          <w:color w:val="000000" w:themeColor="text1"/>
          <w:sz w:val="20"/>
          <w:szCs w:val="20"/>
        </w:rPr>
        <w:t>or approval during February 2021</w:t>
      </w:r>
      <w:r w:rsidRPr="005B3AB4">
        <w:rPr>
          <w:rFonts w:ascii="Arial" w:hAnsi="Arial" w:cs="Arial"/>
          <w:color w:val="000000" w:themeColor="text1"/>
          <w:sz w:val="20"/>
          <w:szCs w:val="20"/>
        </w:rPr>
        <w:t xml:space="preserve">. </w:t>
      </w:r>
    </w:p>
    <w:p w14:paraId="4492B6A0" w14:textId="77777777" w:rsidR="00633D9F" w:rsidRPr="005B3AB4" w:rsidRDefault="00633D9F" w:rsidP="00385F9B">
      <w:pPr>
        <w:jc w:val="both"/>
        <w:rPr>
          <w:rFonts w:ascii="Arial" w:hAnsi="Arial" w:cs="Arial"/>
          <w:color w:val="000000" w:themeColor="text1"/>
          <w:sz w:val="20"/>
          <w:szCs w:val="20"/>
        </w:rPr>
      </w:pPr>
      <w:r w:rsidRPr="005B3AB4">
        <w:rPr>
          <w:rFonts w:ascii="Arial" w:hAnsi="Arial" w:cs="Arial"/>
          <w:color w:val="000000" w:themeColor="text1"/>
          <w:sz w:val="20"/>
          <w:szCs w:val="20"/>
        </w:rPr>
        <w:t xml:space="preserve"> </w:t>
      </w:r>
    </w:p>
    <w:p w14:paraId="2BB877AE" w14:textId="77777777" w:rsidR="00CF528B" w:rsidRPr="00385F9B" w:rsidRDefault="00CF528B" w:rsidP="00385F9B">
      <w:pPr>
        <w:jc w:val="both"/>
        <w:rPr>
          <w:rFonts w:ascii="Arial" w:hAnsi="Arial" w:cs="Arial"/>
          <w:sz w:val="20"/>
          <w:szCs w:val="20"/>
        </w:rPr>
      </w:pPr>
    </w:p>
    <w:sectPr w:rsidR="00CF528B" w:rsidRPr="00385F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70CE8" w14:textId="77777777" w:rsidR="00191DD6" w:rsidRDefault="00191DD6" w:rsidP="004C59CA">
      <w:pPr>
        <w:spacing w:after="0" w:line="240" w:lineRule="auto"/>
      </w:pPr>
      <w:r>
        <w:separator/>
      </w:r>
    </w:p>
  </w:endnote>
  <w:endnote w:type="continuationSeparator" w:id="0">
    <w:p w14:paraId="3A073D71" w14:textId="77777777" w:rsidR="00191DD6" w:rsidRDefault="00191DD6" w:rsidP="004C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084500"/>
      <w:docPartObj>
        <w:docPartGallery w:val="Page Numbers (Bottom of Page)"/>
        <w:docPartUnique/>
      </w:docPartObj>
    </w:sdtPr>
    <w:sdtEndPr>
      <w:rPr>
        <w:rFonts w:ascii="Arial" w:hAnsi="Arial" w:cs="Arial"/>
        <w:b/>
        <w:bCs/>
        <w:noProof/>
      </w:rPr>
    </w:sdtEndPr>
    <w:sdtContent>
      <w:p w14:paraId="64BF2509" w14:textId="3AA0E1E4" w:rsidR="008775D3" w:rsidRPr="004C59CA" w:rsidRDefault="008775D3">
        <w:pPr>
          <w:pStyle w:val="Footer"/>
          <w:jc w:val="center"/>
          <w:rPr>
            <w:rFonts w:ascii="Arial" w:hAnsi="Arial" w:cs="Arial"/>
            <w:b/>
            <w:bCs/>
          </w:rPr>
        </w:pPr>
        <w:r w:rsidRPr="004C59CA">
          <w:rPr>
            <w:rFonts w:ascii="Arial" w:hAnsi="Arial" w:cs="Arial"/>
            <w:b/>
            <w:bCs/>
          </w:rPr>
          <w:fldChar w:fldCharType="begin"/>
        </w:r>
        <w:r w:rsidRPr="004C59CA">
          <w:rPr>
            <w:rFonts w:ascii="Arial" w:hAnsi="Arial" w:cs="Arial"/>
            <w:b/>
            <w:bCs/>
          </w:rPr>
          <w:instrText xml:space="preserve"> PAGE   \* MERGEFORMAT </w:instrText>
        </w:r>
        <w:r w:rsidRPr="004C59CA">
          <w:rPr>
            <w:rFonts w:ascii="Arial" w:hAnsi="Arial" w:cs="Arial"/>
            <w:b/>
            <w:bCs/>
          </w:rPr>
          <w:fldChar w:fldCharType="separate"/>
        </w:r>
        <w:r w:rsidR="00C53DA6">
          <w:rPr>
            <w:rFonts w:ascii="Arial" w:hAnsi="Arial" w:cs="Arial"/>
            <w:b/>
            <w:bCs/>
            <w:noProof/>
          </w:rPr>
          <w:t>19</w:t>
        </w:r>
        <w:r w:rsidRPr="004C59CA">
          <w:rPr>
            <w:rFonts w:ascii="Arial" w:hAnsi="Arial" w:cs="Arial"/>
            <w:b/>
            <w:bCs/>
            <w:noProof/>
          </w:rPr>
          <w:fldChar w:fldCharType="end"/>
        </w:r>
      </w:p>
    </w:sdtContent>
  </w:sdt>
  <w:p w14:paraId="2FE9CF93" w14:textId="77777777" w:rsidR="008775D3" w:rsidRDefault="0087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0B123" w14:textId="77777777" w:rsidR="00191DD6" w:rsidRDefault="00191DD6" w:rsidP="004C59CA">
      <w:pPr>
        <w:spacing w:after="0" w:line="240" w:lineRule="auto"/>
      </w:pPr>
      <w:r>
        <w:separator/>
      </w:r>
    </w:p>
  </w:footnote>
  <w:footnote w:type="continuationSeparator" w:id="0">
    <w:p w14:paraId="057A30DB" w14:textId="77777777" w:rsidR="00191DD6" w:rsidRDefault="00191DD6" w:rsidP="004C5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326D"/>
    <w:multiLevelType w:val="multilevel"/>
    <w:tmpl w:val="1D2218F4"/>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2688" w:hanging="1800"/>
      </w:pPr>
      <w:rPr>
        <w:rFonts w:hint="default"/>
        <w:b/>
      </w:rPr>
    </w:lvl>
  </w:abstractNum>
  <w:abstractNum w:abstractNumId="1" w15:restartNumberingAfterBreak="0">
    <w:nsid w:val="08D048DF"/>
    <w:multiLevelType w:val="hybridMultilevel"/>
    <w:tmpl w:val="2F589E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970866"/>
    <w:multiLevelType w:val="multilevel"/>
    <w:tmpl w:val="DE4A7F2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753DC"/>
    <w:multiLevelType w:val="hybridMultilevel"/>
    <w:tmpl w:val="E27A06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0395D95"/>
    <w:multiLevelType w:val="hybridMultilevel"/>
    <w:tmpl w:val="D5B4DC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6FE1676"/>
    <w:multiLevelType w:val="multilevel"/>
    <w:tmpl w:val="E35CC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40409"/>
    <w:multiLevelType w:val="hybridMultilevel"/>
    <w:tmpl w:val="14844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1174684"/>
    <w:multiLevelType w:val="multilevel"/>
    <w:tmpl w:val="9B72F9BA"/>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 w15:restartNumberingAfterBreak="0">
    <w:nsid w:val="60B266C1"/>
    <w:multiLevelType w:val="hybridMultilevel"/>
    <w:tmpl w:val="B100D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2B926D3"/>
    <w:multiLevelType w:val="hybridMultilevel"/>
    <w:tmpl w:val="49AEEE0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66B15882"/>
    <w:multiLevelType w:val="multilevel"/>
    <w:tmpl w:val="77743C50"/>
    <w:lvl w:ilvl="0">
      <w:start w:val="1"/>
      <w:numFmt w:val="bullet"/>
      <w:lvlText w:val=""/>
      <w:lvlJc w:val="left"/>
      <w:pPr>
        <w:tabs>
          <w:tab w:val="num" w:pos="720"/>
        </w:tabs>
        <w:ind w:left="720" w:hanging="360"/>
      </w:pPr>
      <w:rPr>
        <w:rFonts w:ascii="Symbol" w:hAnsi="Symbol" w:hint="default"/>
      </w:r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CA50E7"/>
    <w:multiLevelType w:val="multilevel"/>
    <w:tmpl w:val="E430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E6189"/>
    <w:multiLevelType w:val="multilevel"/>
    <w:tmpl w:val="3F5C3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2"/>
  </w:num>
  <w:num w:numId="5">
    <w:abstractNumId w:val="11"/>
  </w:num>
  <w:num w:numId="6">
    <w:abstractNumId w:val="3"/>
  </w:num>
  <w:num w:numId="7">
    <w:abstractNumId w:val="4"/>
  </w:num>
  <w:num w:numId="8">
    <w:abstractNumId w:val="6"/>
  </w:num>
  <w:num w:numId="9">
    <w:abstractNumId w:val="1"/>
  </w:num>
  <w:num w:numId="10">
    <w:abstractNumId w:val="8"/>
  </w:num>
  <w:num w:numId="11">
    <w:abstractNumId w:val="5"/>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98"/>
    <w:rsid w:val="00007523"/>
    <w:rsid w:val="00024306"/>
    <w:rsid w:val="00034798"/>
    <w:rsid w:val="00065950"/>
    <w:rsid w:val="000827F0"/>
    <w:rsid w:val="000A4819"/>
    <w:rsid w:val="000D06B0"/>
    <w:rsid w:val="000E6A51"/>
    <w:rsid w:val="0010653E"/>
    <w:rsid w:val="00110FD8"/>
    <w:rsid w:val="00125F27"/>
    <w:rsid w:val="00133C39"/>
    <w:rsid w:val="00187C1E"/>
    <w:rsid w:val="00191DD6"/>
    <w:rsid w:val="001B433B"/>
    <w:rsid w:val="001D1C94"/>
    <w:rsid w:val="001F73CB"/>
    <w:rsid w:val="00212E12"/>
    <w:rsid w:val="00216CB1"/>
    <w:rsid w:val="00233DBE"/>
    <w:rsid w:val="00237DF7"/>
    <w:rsid w:val="00245066"/>
    <w:rsid w:val="0025003A"/>
    <w:rsid w:val="002A3050"/>
    <w:rsid w:val="002A7398"/>
    <w:rsid w:val="002D1594"/>
    <w:rsid w:val="00307538"/>
    <w:rsid w:val="00337F0D"/>
    <w:rsid w:val="00352BC5"/>
    <w:rsid w:val="00381B7A"/>
    <w:rsid w:val="00385F9B"/>
    <w:rsid w:val="00390160"/>
    <w:rsid w:val="003F24AF"/>
    <w:rsid w:val="0046499D"/>
    <w:rsid w:val="004A5652"/>
    <w:rsid w:val="004A70F0"/>
    <w:rsid w:val="004C59CA"/>
    <w:rsid w:val="004D6188"/>
    <w:rsid w:val="00513035"/>
    <w:rsid w:val="005336A6"/>
    <w:rsid w:val="005420B5"/>
    <w:rsid w:val="00582F14"/>
    <w:rsid w:val="005B3AB4"/>
    <w:rsid w:val="005D068C"/>
    <w:rsid w:val="00627852"/>
    <w:rsid w:val="006302E2"/>
    <w:rsid w:val="00633D9F"/>
    <w:rsid w:val="00634E96"/>
    <w:rsid w:val="006A6A16"/>
    <w:rsid w:val="006B5512"/>
    <w:rsid w:val="006C4DC1"/>
    <w:rsid w:val="0075312A"/>
    <w:rsid w:val="00776589"/>
    <w:rsid w:val="007A6C73"/>
    <w:rsid w:val="007C2407"/>
    <w:rsid w:val="007F4AD3"/>
    <w:rsid w:val="008036E7"/>
    <w:rsid w:val="008311EC"/>
    <w:rsid w:val="0084191A"/>
    <w:rsid w:val="008775D3"/>
    <w:rsid w:val="008B4FF5"/>
    <w:rsid w:val="008C06BB"/>
    <w:rsid w:val="008F5797"/>
    <w:rsid w:val="00907576"/>
    <w:rsid w:val="00911D2E"/>
    <w:rsid w:val="0095784A"/>
    <w:rsid w:val="009756B1"/>
    <w:rsid w:val="009765CC"/>
    <w:rsid w:val="00996B2A"/>
    <w:rsid w:val="009A5A10"/>
    <w:rsid w:val="009E0C0D"/>
    <w:rsid w:val="00A20473"/>
    <w:rsid w:val="00A53FE6"/>
    <w:rsid w:val="00A56DA8"/>
    <w:rsid w:val="00A86565"/>
    <w:rsid w:val="00AA4ED0"/>
    <w:rsid w:val="00AF0849"/>
    <w:rsid w:val="00AF2CC4"/>
    <w:rsid w:val="00B06E66"/>
    <w:rsid w:val="00B07F53"/>
    <w:rsid w:val="00B14A09"/>
    <w:rsid w:val="00BA1255"/>
    <w:rsid w:val="00C01A2F"/>
    <w:rsid w:val="00C35E98"/>
    <w:rsid w:val="00C53DA6"/>
    <w:rsid w:val="00CB4FD8"/>
    <w:rsid w:val="00CC2032"/>
    <w:rsid w:val="00CE2EF9"/>
    <w:rsid w:val="00CF528B"/>
    <w:rsid w:val="00D04710"/>
    <w:rsid w:val="00D33507"/>
    <w:rsid w:val="00D45A44"/>
    <w:rsid w:val="00D55AD6"/>
    <w:rsid w:val="00D60972"/>
    <w:rsid w:val="00D72729"/>
    <w:rsid w:val="00D81C3F"/>
    <w:rsid w:val="00DB3A7D"/>
    <w:rsid w:val="00DD188D"/>
    <w:rsid w:val="00DF645C"/>
    <w:rsid w:val="00E25C5F"/>
    <w:rsid w:val="00E278F9"/>
    <w:rsid w:val="00E82913"/>
    <w:rsid w:val="00EB5F93"/>
    <w:rsid w:val="00EC44F6"/>
    <w:rsid w:val="00ED17B9"/>
    <w:rsid w:val="00F01F04"/>
    <w:rsid w:val="00F10BFB"/>
    <w:rsid w:val="00F25078"/>
    <w:rsid w:val="00F400D6"/>
    <w:rsid w:val="00F427DF"/>
    <w:rsid w:val="00FB2062"/>
    <w:rsid w:val="00FD0399"/>
    <w:rsid w:val="00FD0D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18876"/>
  <w15:chartTrackingRefBased/>
  <w15:docId w15:val="{6D0B9FED-C204-4DBC-A0D4-AA5C79E0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798"/>
    <w:pPr>
      <w:spacing w:after="120" w:line="264" w:lineRule="auto"/>
    </w:pPr>
    <w:rPr>
      <w:rFonts w:ascii="Calibri" w:eastAsia="Times New Roman" w:hAnsi="Calibri" w:cs="Times New Roman"/>
      <w:sz w:val="21"/>
      <w:szCs w:val="21"/>
      <w:lang w:eastAsia="en-ZA"/>
    </w:rPr>
  </w:style>
  <w:style w:type="paragraph" w:styleId="Heading1">
    <w:name w:val="heading 1"/>
    <w:basedOn w:val="Normal"/>
    <w:next w:val="Normal"/>
    <w:link w:val="Heading1Char"/>
    <w:uiPriority w:val="9"/>
    <w:qFormat/>
    <w:rsid w:val="00CC20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10FD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
    <w:basedOn w:val="Normal"/>
    <w:uiPriority w:val="34"/>
    <w:qFormat/>
    <w:rsid w:val="00034798"/>
    <w:pPr>
      <w:ind w:left="720"/>
      <w:contextualSpacing/>
    </w:pPr>
  </w:style>
  <w:style w:type="character" w:customStyle="1" w:styleId="Heading2Char">
    <w:name w:val="Heading 2 Char"/>
    <w:basedOn w:val="DefaultParagraphFont"/>
    <w:link w:val="Heading2"/>
    <w:uiPriority w:val="9"/>
    <w:rsid w:val="00110FD8"/>
    <w:rPr>
      <w:rFonts w:ascii="Times New Roman" w:eastAsia="Times New Roman" w:hAnsi="Times New Roman" w:cs="Times New Roman"/>
      <w:b/>
      <w:bCs/>
      <w:sz w:val="36"/>
      <w:szCs w:val="36"/>
      <w:lang w:eastAsia="en-ZA"/>
    </w:rPr>
  </w:style>
  <w:style w:type="paragraph" w:styleId="NormalWeb">
    <w:name w:val="Normal (Web)"/>
    <w:basedOn w:val="Normal"/>
    <w:uiPriority w:val="99"/>
    <w:semiHidden/>
    <w:unhideWhenUsed/>
    <w:rsid w:val="00110FD8"/>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90160"/>
    <w:rPr>
      <w:b/>
      <w:bCs/>
    </w:rPr>
  </w:style>
  <w:style w:type="table" w:customStyle="1" w:styleId="TableGrid1">
    <w:name w:val="Table Grid1"/>
    <w:basedOn w:val="TableNormal"/>
    <w:next w:val="TableGrid"/>
    <w:uiPriority w:val="59"/>
    <w:rsid w:val="0000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00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645C"/>
    <w:pPr>
      <w:spacing w:after="0" w:line="240" w:lineRule="auto"/>
    </w:pPr>
  </w:style>
  <w:style w:type="character" w:customStyle="1" w:styleId="NoSpacingChar">
    <w:name w:val="No Spacing Char"/>
    <w:basedOn w:val="DefaultParagraphFont"/>
    <w:link w:val="NoSpacing"/>
    <w:uiPriority w:val="1"/>
    <w:rsid w:val="00DF645C"/>
  </w:style>
  <w:style w:type="character" w:customStyle="1" w:styleId="Heading1Char">
    <w:name w:val="Heading 1 Char"/>
    <w:basedOn w:val="DefaultParagraphFont"/>
    <w:link w:val="Heading1"/>
    <w:uiPriority w:val="9"/>
    <w:rsid w:val="00CC2032"/>
    <w:rPr>
      <w:rFonts w:asciiTheme="majorHAnsi" w:eastAsiaTheme="majorEastAsia" w:hAnsiTheme="majorHAnsi" w:cstheme="majorBidi"/>
      <w:color w:val="365F91" w:themeColor="accent1" w:themeShade="BF"/>
      <w:sz w:val="32"/>
      <w:szCs w:val="32"/>
      <w:lang w:eastAsia="en-ZA"/>
    </w:rPr>
  </w:style>
  <w:style w:type="paragraph" w:styleId="TOCHeading">
    <w:name w:val="TOC Heading"/>
    <w:basedOn w:val="Heading1"/>
    <w:next w:val="Normal"/>
    <w:uiPriority w:val="39"/>
    <w:unhideWhenUsed/>
    <w:qFormat/>
    <w:rsid w:val="00CC2032"/>
    <w:pPr>
      <w:spacing w:line="259" w:lineRule="auto"/>
      <w:outlineLvl w:val="9"/>
    </w:pPr>
    <w:rPr>
      <w:lang w:val="en-US" w:eastAsia="en-US"/>
    </w:rPr>
  </w:style>
  <w:style w:type="paragraph" w:styleId="TOC1">
    <w:name w:val="toc 1"/>
    <w:basedOn w:val="Normal"/>
    <w:next w:val="Normal"/>
    <w:autoRedefine/>
    <w:uiPriority w:val="39"/>
    <w:unhideWhenUsed/>
    <w:rsid w:val="00CC2032"/>
    <w:pPr>
      <w:spacing w:after="100"/>
    </w:pPr>
  </w:style>
  <w:style w:type="paragraph" w:styleId="TOC2">
    <w:name w:val="toc 2"/>
    <w:basedOn w:val="Normal"/>
    <w:next w:val="Normal"/>
    <w:autoRedefine/>
    <w:uiPriority w:val="39"/>
    <w:unhideWhenUsed/>
    <w:rsid w:val="00CC2032"/>
    <w:pPr>
      <w:spacing w:after="100"/>
      <w:ind w:left="210"/>
    </w:pPr>
  </w:style>
  <w:style w:type="character" w:styleId="Hyperlink">
    <w:name w:val="Hyperlink"/>
    <w:basedOn w:val="DefaultParagraphFont"/>
    <w:uiPriority w:val="99"/>
    <w:unhideWhenUsed/>
    <w:rsid w:val="00CC2032"/>
    <w:rPr>
      <w:color w:val="0000FF" w:themeColor="hyperlink"/>
      <w:u w:val="single"/>
    </w:rPr>
  </w:style>
  <w:style w:type="paragraph" w:styleId="Header">
    <w:name w:val="header"/>
    <w:basedOn w:val="Normal"/>
    <w:link w:val="HeaderChar"/>
    <w:uiPriority w:val="99"/>
    <w:unhideWhenUsed/>
    <w:rsid w:val="004C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9CA"/>
    <w:rPr>
      <w:rFonts w:ascii="Calibri" w:eastAsia="Times New Roman" w:hAnsi="Calibri" w:cs="Times New Roman"/>
      <w:sz w:val="21"/>
      <w:szCs w:val="21"/>
      <w:lang w:eastAsia="en-ZA"/>
    </w:rPr>
  </w:style>
  <w:style w:type="paragraph" w:styleId="Footer">
    <w:name w:val="footer"/>
    <w:basedOn w:val="Normal"/>
    <w:link w:val="FooterChar"/>
    <w:uiPriority w:val="99"/>
    <w:unhideWhenUsed/>
    <w:rsid w:val="004C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9CA"/>
    <w:rPr>
      <w:rFonts w:ascii="Calibri" w:eastAsia="Times New Roman" w:hAnsi="Calibri" w:cs="Times New Roman"/>
      <w:sz w:val="21"/>
      <w:szCs w:val="21"/>
      <w:lang w:eastAsia="en-ZA"/>
    </w:rPr>
  </w:style>
  <w:style w:type="paragraph" w:styleId="TOC3">
    <w:name w:val="toc 3"/>
    <w:basedOn w:val="Normal"/>
    <w:next w:val="Normal"/>
    <w:autoRedefine/>
    <w:uiPriority w:val="39"/>
    <w:unhideWhenUsed/>
    <w:rsid w:val="0095784A"/>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9847">
      <w:bodyDiv w:val="1"/>
      <w:marLeft w:val="0"/>
      <w:marRight w:val="0"/>
      <w:marTop w:val="0"/>
      <w:marBottom w:val="0"/>
      <w:divBdr>
        <w:top w:val="none" w:sz="0" w:space="0" w:color="auto"/>
        <w:left w:val="none" w:sz="0" w:space="0" w:color="auto"/>
        <w:bottom w:val="none" w:sz="0" w:space="0" w:color="auto"/>
        <w:right w:val="none" w:sz="0" w:space="0" w:color="auto"/>
      </w:divBdr>
    </w:div>
    <w:div w:id="158740562">
      <w:bodyDiv w:val="1"/>
      <w:marLeft w:val="0"/>
      <w:marRight w:val="0"/>
      <w:marTop w:val="0"/>
      <w:marBottom w:val="0"/>
      <w:divBdr>
        <w:top w:val="none" w:sz="0" w:space="0" w:color="auto"/>
        <w:left w:val="none" w:sz="0" w:space="0" w:color="auto"/>
        <w:bottom w:val="none" w:sz="0" w:space="0" w:color="auto"/>
        <w:right w:val="none" w:sz="0" w:space="0" w:color="auto"/>
      </w:divBdr>
    </w:div>
    <w:div w:id="412287751">
      <w:bodyDiv w:val="1"/>
      <w:marLeft w:val="0"/>
      <w:marRight w:val="0"/>
      <w:marTop w:val="0"/>
      <w:marBottom w:val="0"/>
      <w:divBdr>
        <w:top w:val="none" w:sz="0" w:space="0" w:color="auto"/>
        <w:left w:val="none" w:sz="0" w:space="0" w:color="auto"/>
        <w:bottom w:val="none" w:sz="0" w:space="0" w:color="auto"/>
        <w:right w:val="none" w:sz="0" w:space="0" w:color="auto"/>
      </w:divBdr>
    </w:div>
    <w:div w:id="650332157">
      <w:bodyDiv w:val="1"/>
      <w:marLeft w:val="0"/>
      <w:marRight w:val="0"/>
      <w:marTop w:val="0"/>
      <w:marBottom w:val="0"/>
      <w:divBdr>
        <w:top w:val="none" w:sz="0" w:space="0" w:color="auto"/>
        <w:left w:val="none" w:sz="0" w:space="0" w:color="auto"/>
        <w:bottom w:val="none" w:sz="0" w:space="0" w:color="auto"/>
        <w:right w:val="none" w:sz="0" w:space="0" w:color="auto"/>
      </w:divBdr>
    </w:div>
    <w:div w:id="1151630449">
      <w:bodyDiv w:val="1"/>
      <w:marLeft w:val="0"/>
      <w:marRight w:val="0"/>
      <w:marTop w:val="0"/>
      <w:marBottom w:val="0"/>
      <w:divBdr>
        <w:top w:val="none" w:sz="0" w:space="0" w:color="auto"/>
        <w:left w:val="none" w:sz="0" w:space="0" w:color="auto"/>
        <w:bottom w:val="none" w:sz="0" w:space="0" w:color="auto"/>
        <w:right w:val="none" w:sz="0" w:space="0" w:color="auto"/>
      </w:divBdr>
    </w:div>
    <w:div w:id="1751346293">
      <w:bodyDiv w:val="1"/>
      <w:marLeft w:val="0"/>
      <w:marRight w:val="0"/>
      <w:marTop w:val="0"/>
      <w:marBottom w:val="0"/>
      <w:divBdr>
        <w:top w:val="none" w:sz="0" w:space="0" w:color="auto"/>
        <w:left w:val="none" w:sz="0" w:space="0" w:color="auto"/>
        <w:bottom w:val="none" w:sz="0" w:space="0" w:color="auto"/>
        <w:right w:val="none" w:sz="0" w:space="0" w:color="auto"/>
      </w:divBdr>
      <w:divsChild>
        <w:div w:id="95447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94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qobile%20Vakalisa\Desktop\VakalisaN%20User\Desktop\2021\Q2%20OF%20202021\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qobile%20Vakalisa\Desktop\VakalisaN%20User\Desktop\2021\Q2%20OF%20202021\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qobile%20Vakalisa\Desktop\VakalisaN%20User\Desktop\2021\Q2%20OF%20202021\BTO\Copy%20of%20BTO%20Q2%20Reporting%20Templat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qobile%20Vakalisa\Desktop\VakalisaN%20User\Desktop\2021\Q2%20OF%20202021\Book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OFFICE OF THE MUNICIPAL MANAGER/ EXECUTIVE&amp; COUNCIL Q2&amp; MID-YEAR PERFORMANCE ASSESSMENT REPORT</a:t>
            </a:r>
          </a:p>
        </c:rich>
      </c:tx>
      <c:layout>
        <c:manualLayout>
          <c:xMode val="edge"/>
          <c:yMode val="edge"/>
          <c:x val="0.11701279013559536"/>
          <c:y val="2.2070995034026118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
          <c:y val="0"/>
          <c:w val="0.9489381455262853"/>
          <c:h val="0.85224106045048575"/>
        </c:manualLayout>
      </c:layout>
      <c:barChart>
        <c:barDir val="col"/>
        <c:grouping val="clustered"/>
        <c:varyColors val="0"/>
        <c:ser>
          <c:idx val="0"/>
          <c:order val="0"/>
          <c:tx>
            <c:strRef>
              <c:f>Sheet1!$A$2</c:f>
              <c:strCache>
                <c:ptCount val="1"/>
                <c:pt idx="0">
                  <c:v>17</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Sheet1!$B$1:$E$1</c:f>
              <c:strCache>
                <c:ptCount val="4"/>
                <c:pt idx="0">
                  <c:v>Targets Achieved</c:v>
                </c:pt>
                <c:pt idx="1">
                  <c:v>Targets Not Achieved</c:v>
                </c:pt>
                <c:pt idx="2">
                  <c:v>Not applicable in the Q2</c:v>
                </c:pt>
                <c:pt idx="3">
                  <c:v>Q1 &amp; Q2 Consolidated Performance at Mid-year: 31 December 2020</c:v>
                </c:pt>
              </c:strCache>
            </c:strRef>
          </c:cat>
          <c:val>
            <c:numRef>
              <c:f>Sheet1!$B$2:$E$2</c:f>
              <c:numCache>
                <c:formatCode>General</c:formatCode>
                <c:ptCount val="4"/>
                <c:pt idx="0">
                  <c:v>12</c:v>
                </c:pt>
                <c:pt idx="1">
                  <c:v>2</c:v>
                </c:pt>
                <c:pt idx="2">
                  <c:v>3</c:v>
                </c:pt>
                <c:pt idx="3">
                  <c:v>12</c:v>
                </c:pt>
              </c:numCache>
            </c:numRef>
          </c:val>
          <c:extLst>
            <c:ext xmlns:c16="http://schemas.microsoft.com/office/drawing/2014/chart" uri="{C3380CC4-5D6E-409C-BE32-E72D297353CC}">
              <c16:uniqueId val="{00000000-169B-47EA-B316-082B0189CB64}"/>
            </c:ext>
          </c:extLst>
        </c:ser>
        <c:ser>
          <c:idx val="1"/>
          <c:order val="1"/>
          <c:tx>
            <c:strRef>
              <c:f>Sheet1!$A$3</c:f>
              <c:strCache>
                <c:ptCount val="1"/>
                <c:pt idx="0">
                  <c:v>Percentage achievement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Sheet1!$B$1:$E$1</c:f>
              <c:strCache>
                <c:ptCount val="4"/>
                <c:pt idx="0">
                  <c:v>Targets Achieved</c:v>
                </c:pt>
                <c:pt idx="1">
                  <c:v>Targets Not Achieved</c:v>
                </c:pt>
                <c:pt idx="2">
                  <c:v>Not applicable in the Q2</c:v>
                </c:pt>
                <c:pt idx="3">
                  <c:v>Q1 &amp; Q2 Consolidated Performance at Mid-year: 31 December 2020</c:v>
                </c:pt>
              </c:strCache>
            </c:strRef>
          </c:cat>
          <c:val>
            <c:numRef>
              <c:f>Sheet1!$B$3:$E$3</c:f>
              <c:numCache>
                <c:formatCode>0.00%</c:formatCode>
                <c:ptCount val="4"/>
                <c:pt idx="0">
                  <c:v>0.88200000000000001</c:v>
                </c:pt>
                <c:pt idx="1">
                  <c:v>0.11700000000000001</c:v>
                </c:pt>
                <c:pt idx="2">
                  <c:v>0.17599999999999999</c:v>
                </c:pt>
                <c:pt idx="3" formatCode="0%">
                  <c:v>0.8</c:v>
                </c:pt>
              </c:numCache>
            </c:numRef>
          </c:val>
          <c:extLst>
            <c:ext xmlns:c16="http://schemas.microsoft.com/office/drawing/2014/chart" uri="{C3380CC4-5D6E-409C-BE32-E72D297353CC}">
              <c16:uniqueId val="{00000001-169B-47EA-B316-082B0189CB64}"/>
            </c:ext>
          </c:extLst>
        </c:ser>
        <c:dLbls>
          <c:dLblPos val="inEnd"/>
          <c:showLegendKey val="0"/>
          <c:showVal val="1"/>
          <c:showCatName val="0"/>
          <c:showSerName val="0"/>
          <c:showPercent val="0"/>
          <c:showBubbleSize val="0"/>
        </c:dLbls>
        <c:gapWidth val="65"/>
        <c:axId val="1032704831"/>
        <c:axId val="1032702335"/>
      </c:barChart>
      <c:catAx>
        <c:axId val="103270483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032702335"/>
        <c:crosses val="autoZero"/>
        <c:auto val="1"/>
        <c:lblAlgn val="ctr"/>
        <c:lblOffset val="100"/>
        <c:noMultiLvlLbl val="0"/>
      </c:catAx>
      <c:valAx>
        <c:axId val="10327023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3270483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latin typeface="Arial" panose="020B0604020202020204" pitchFamily="34" charset="0"/>
                <a:cs typeface="Arial" panose="020B0604020202020204" pitchFamily="34" charset="0"/>
              </a:rPr>
              <a:t>COMMUNITY&amp;</a:t>
            </a:r>
            <a:r>
              <a:rPr lang="en-US" baseline="0">
                <a:latin typeface="Arial" panose="020B0604020202020204" pitchFamily="34" charset="0"/>
                <a:cs typeface="Arial" panose="020B0604020202020204" pitchFamily="34" charset="0"/>
              </a:rPr>
              <a:t> SOCIAL SERVICES DEPARTMENT</a:t>
            </a:r>
            <a:endParaRPr lang="en-US">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Sheet9!$A$2</c:f>
              <c:strCache>
                <c:ptCount val="1"/>
                <c:pt idx="0">
                  <c:v>23</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3-D3FC-4FD5-A066-76AC88E96963}"/>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2-D3FC-4FD5-A066-76AC88E96963}"/>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4-D3FC-4FD5-A066-76AC88E96963}"/>
                </c:ext>
              </c:extLst>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extLst>
                <c:ext xmlns:c16="http://schemas.microsoft.com/office/drawing/2014/chart" uri="{C3380CC4-5D6E-409C-BE32-E72D297353CC}">
                  <c16:uniqueId val="{00000005-D3FC-4FD5-A066-76AC88E9696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Sheet9!$B$1:$E$1</c:f>
              <c:strCache>
                <c:ptCount val="4"/>
                <c:pt idx="0">
                  <c:v>Targets Achieved</c:v>
                </c:pt>
                <c:pt idx="1">
                  <c:v>Targets Not Achieved</c:v>
                </c:pt>
                <c:pt idx="2">
                  <c:v>Not Applicable in Q2</c:v>
                </c:pt>
                <c:pt idx="3">
                  <c:v>Q1 &amp; Q2 Consolidated Performance at Mid-year 31 December 2020</c:v>
                </c:pt>
              </c:strCache>
            </c:strRef>
          </c:cat>
          <c:val>
            <c:numRef>
              <c:f>Sheet9!$B$2:$E$2</c:f>
              <c:numCache>
                <c:formatCode>General</c:formatCode>
                <c:ptCount val="4"/>
                <c:pt idx="0">
                  <c:v>12</c:v>
                </c:pt>
                <c:pt idx="1">
                  <c:v>3</c:v>
                </c:pt>
                <c:pt idx="2">
                  <c:v>8</c:v>
                </c:pt>
                <c:pt idx="3">
                  <c:v>14</c:v>
                </c:pt>
              </c:numCache>
            </c:numRef>
          </c:val>
          <c:extLst>
            <c:ext xmlns:c16="http://schemas.microsoft.com/office/drawing/2014/chart" uri="{C3380CC4-5D6E-409C-BE32-E72D297353CC}">
              <c16:uniqueId val="{00000000-D3FC-4FD5-A066-76AC88E96963}"/>
            </c:ext>
          </c:extLst>
        </c:ser>
        <c:ser>
          <c:idx val="1"/>
          <c:order val="1"/>
          <c:tx>
            <c:strRef>
              <c:f>Sheet9!$A$3</c:f>
              <c:strCache>
                <c:ptCount val="1"/>
                <c:pt idx="0">
                  <c:v>Percentage achievement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Sheet9!$B$1:$E$1</c:f>
              <c:strCache>
                <c:ptCount val="4"/>
                <c:pt idx="0">
                  <c:v>Targets Achieved</c:v>
                </c:pt>
                <c:pt idx="1">
                  <c:v>Targets Not Achieved</c:v>
                </c:pt>
                <c:pt idx="2">
                  <c:v>Not Applicable in Q2</c:v>
                </c:pt>
                <c:pt idx="3">
                  <c:v>Q1 &amp; Q2 Consolidated Performance at Mid-year 31 December 2020</c:v>
                </c:pt>
              </c:strCache>
            </c:strRef>
          </c:cat>
          <c:val>
            <c:numRef>
              <c:f>Sheet9!$B$3:$E$3</c:f>
              <c:numCache>
                <c:formatCode>0%</c:formatCode>
                <c:ptCount val="4"/>
                <c:pt idx="0">
                  <c:v>0.8</c:v>
                </c:pt>
                <c:pt idx="1">
                  <c:v>0.2</c:v>
                </c:pt>
                <c:pt idx="2" formatCode="0.00%">
                  <c:v>0.34699999999999998</c:v>
                </c:pt>
                <c:pt idx="3" formatCode="0.00%">
                  <c:v>0.73599999999999999</c:v>
                </c:pt>
              </c:numCache>
            </c:numRef>
          </c:val>
          <c:extLst>
            <c:ext xmlns:c16="http://schemas.microsoft.com/office/drawing/2014/chart" uri="{C3380CC4-5D6E-409C-BE32-E72D297353CC}">
              <c16:uniqueId val="{00000001-D3FC-4FD5-A066-76AC88E96963}"/>
            </c:ext>
          </c:extLst>
        </c:ser>
        <c:dLbls>
          <c:dLblPos val="inEnd"/>
          <c:showLegendKey val="0"/>
          <c:showVal val="1"/>
          <c:showCatName val="0"/>
          <c:showSerName val="0"/>
          <c:showPercent val="0"/>
          <c:showBubbleSize val="0"/>
        </c:dLbls>
        <c:gapWidth val="65"/>
        <c:axId val="1408786751"/>
        <c:axId val="1408789663"/>
      </c:barChart>
      <c:catAx>
        <c:axId val="140878675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408789663"/>
        <c:crosses val="autoZero"/>
        <c:auto val="1"/>
        <c:lblAlgn val="ctr"/>
        <c:lblOffset val="100"/>
        <c:noMultiLvlLbl val="0"/>
      </c:catAx>
      <c:valAx>
        <c:axId val="140878966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0878675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000"/>
              <a:t>CORPORATE SUPPORT SERVICES DEPARTMENT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Sheet8!$A$2</c:f>
              <c:strCache>
                <c:ptCount val="1"/>
                <c:pt idx="0">
                  <c:v>12</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Sheet8!$B$1:$E$1</c:f>
              <c:strCache>
                <c:ptCount val="4"/>
                <c:pt idx="0">
                  <c:v>Targets Achieved</c:v>
                </c:pt>
                <c:pt idx="1">
                  <c:v>Targets Not Achieved</c:v>
                </c:pt>
                <c:pt idx="2">
                  <c:v>Not Applicable in Q2</c:v>
                </c:pt>
                <c:pt idx="3">
                  <c:v>Q1 &amp; Q2 Consolidated Performance at Mid-year 31 December 2020</c:v>
                </c:pt>
              </c:strCache>
            </c:strRef>
          </c:cat>
          <c:val>
            <c:numRef>
              <c:f>Sheet8!$B$2:$E$2</c:f>
              <c:numCache>
                <c:formatCode>General</c:formatCode>
                <c:ptCount val="4"/>
                <c:pt idx="0">
                  <c:v>6</c:v>
                </c:pt>
                <c:pt idx="1">
                  <c:v>3</c:v>
                </c:pt>
                <c:pt idx="2">
                  <c:v>3</c:v>
                </c:pt>
                <c:pt idx="3">
                  <c:v>8</c:v>
                </c:pt>
              </c:numCache>
            </c:numRef>
          </c:val>
          <c:extLst>
            <c:ext xmlns:c16="http://schemas.microsoft.com/office/drawing/2014/chart" uri="{C3380CC4-5D6E-409C-BE32-E72D297353CC}">
              <c16:uniqueId val="{00000000-6AF3-45FD-A7A6-51D0DEF38387}"/>
            </c:ext>
          </c:extLst>
        </c:ser>
        <c:ser>
          <c:idx val="1"/>
          <c:order val="1"/>
          <c:tx>
            <c:strRef>
              <c:f>Sheet8!$A$3</c:f>
              <c:strCache>
                <c:ptCount val="1"/>
                <c:pt idx="0">
                  <c:v>Percentage achievement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Sheet8!$B$1:$E$1</c:f>
              <c:strCache>
                <c:ptCount val="4"/>
                <c:pt idx="0">
                  <c:v>Targets Achieved</c:v>
                </c:pt>
                <c:pt idx="1">
                  <c:v>Targets Not Achieved</c:v>
                </c:pt>
                <c:pt idx="2">
                  <c:v>Not Applicable in Q2</c:v>
                </c:pt>
                <c:pt idx="3">
                  <c:v>Q1 &amp; Q2 Consolidated Performance at Mid-year 31 December 2020</c:v>
                </c:pt>
              </c:strCache>
            </c:strRef>
          </c:cat>
          <c:val>
            <c:numRef>
              <c:f>Sheet8!$B$3:$E$3</c:f>
              <c:numCache>
                <c:formatCode>0.00%</c:formatCode>
                <c:ptCount val="4"/>
                <c:pt idx="0">
                  <c:v>0.66600000000000004</c:v>
                </c:pt>
                <c:pt idx="1">
                  <c:v>0.33300000000000002</c:v>
                </c:pt>
                <c:pt idx="2" formatCode="0%">
                  <c:v>0.25</c:v>
                </c:pt>
                <c:pt idx="3">
                  <c:v>0.88800000000000001</c:v>
                </c:pt>
              </c:numCache>
            </c:numRef>
          </c:val>
          <c:extLst>
            <c:ext xmlns:c16="http://schemas.microsoft.com/office/drawing/2014/chart" uri="{C3380CC4-5D6E-409C-BE32-E72D297353CC}">
              <c16:uniqueId val="{00000001-6AF3-45FD-A7A6-51D0DEF38387}"/>
            </c:ext>
          </c:extLst>
        </c:ser>
        <c:dLbls>
          <c:dLblPos val="inEnd"/>
          <c:showLegendKey val="0"/>
          <c:showVal val="1"/>
          <c:showCatName val="0"/>
          <c:showSerName val="0"/>
          <c:showPercent val="0"/>
          <c:showBubbleSize val="0"/>
        </c:dLbls>
        <c:gapWidth val="65"/>
        <c:axId val="1580313455"/>
        <c:axId val="1580315535"/>
      </c:barChart>
      <c:catAx>
        <c:axId val="15803134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580315535"/>
        <c:crosses val="autoZero"/>
        <c:auto val="1"/>
        <c:lblAlgn val="ctr"/>
        <c:lblOffset val="100"/>
        <c:noMultiLvlLbl val="0"/>
      </c:catAx>
      <c:valAx>
        <c:axId val="158031553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803134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latin typeface="Arial" panose="020B0604020202020204" pitchFamily="34" charset="0"/>
                <a:cs typeface="Arial" panose="020B0604020202020204" pitchFamily="34" charset="0"/>
              </a:rPr>
              <a:t>PUBLIC</a:t>
            </a:r>
            <a:r>
              <a:rPr lang="en-US" sz="1000" baseline="0">
                <a:latin typeface="Arial" panose="020B0604020202020204" pitchFamily="34" charset="0"/>
                <a:cs typeface="Arial" panose="020B0604020202020204" pitchFamily="34" charset="0"/>
              </a:rPr>
              <a:t> WORKS AND BASIC SERVICES DEPARTMENT</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Sheet6!$A$2</c:f>
              <c:strCache>
                <c:ptCount val="1"/>
                <c:pt idx="0">
                  <c:v>26</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Sheet6!$B$1:$E$1</c:f>
              <c:strCache>
                <c:ptCount val="4"/>
                <c:pt idx="0">
                  <c:v>Targets Achieved</c:v>
                </c:pt>
                <c:pt idx="1">
                  <c:v>Targets Not Achieved</c:v>
                </c:pt>
                <c:pt idx="2">
                  <c:v>Not Applicable in Q2</c:v>
                </c:pt>
                <c:pt idx="3">
                  <c:v>Q1 &amp; Q2 Consolidated Performance at Mid-year 31 December 2020</c:v>
                </c:pt>
              </c:strCache>
            </c:strRef>
          </c:cat>
          <c:val>
            <c:numRef>
              <c:f>Sheet6!$B$2:$E$2</c:f>
              <c:numCache>
                <c:formatCode>General</c:formatCode>
                <c:ptCount val="4"/>
                <c:pt idx="0">
                  <c:v>8</c:v>
                </c:pt>
                <c:pt idx="1">
                  <c:v>3</c:v>
                </c:pt>
                <c:pt idx="2">
                  <c:v>15</c:v>
                </c:pt>
                <c:pt idx="3">
                  <c:v>8</c:v>
                </c:pt>
              </c:numCache>
            </c:numRef>
          </c:val>
          <c:extLst>
            <c:ext xmlns:c16="http://schemas.microsoft.com/office/drawing/2014/chart" uri="{C3380CC4-5D6E-409C-BE32-E72D297353CC}">
              <c16:uniqueId val="{00000000-0E61-4987-BF09-12B92C3D1DED}"/>
            </c:ext>
          </c:extLst>
        </c:ser>
        <c:ser>
          <c:idx val="1"/>
          <c:order val="1"/>
          <c:tx>
            <c:strRef>
              <c:f>Sheet6!$A$3</c:f>
              <c:strCache>
                <c:ptCount val="1"/>
                <c:pt idx="0">
                  <c:v>Percentage achievement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Sheet6!$B$1:$E$1</c:f>
              <c:strCache>
                <c:ptCount val="4"/>
                <c:pt idx="0">
                  <c:v>Targets Achieved</c:v>
                </c:pt>
                <c:pt idx="1">
                  <c:v>Targets Not Achieved</c:v>
                </c:pt>
                <c:pt idx="2">
                  <c:v>Not Applicable in Q2</c:v>
                </c:pt>
                <c:pt idx="3">
                  <c:v>Q1 &amp; Q2 Consolidated Performance at Mid-year 31 December 2020</c:v>
                </c:pt>
              </c:strCache>
            </c:strRef>
          </c:cat>
          <c:val>
            <c:numRef>
              <c:f>Sheet6!$B$3:$E$3</c:f>
              <c:numCache>
                <c:formatCode>0.00%</c:formatCode>
                <c:ptCount val="4"/>
                <c:pt idx="0">
                  <c:v>0.72699999999999998</c:v>
                </c:pt>
                <c:pt idx="1">
                  <c:v>0.27200000000000002</c:v>
                </c:pt>
                <c:pt idx="2">
                  <c:v>0.57599999999999996</c:v>
                </c:pt>
                <c:pt idx="3">
                  <c:v>0.72699999999999998</c:v>
                </c:pt>
              </c:numCache>
            </c:numRef>
          </c:val>
          <c:extLst>
            <c:ext xmlns:c16="http://schemas.microsoft.com/office/drawing/2014/chart" uri="{C3380CC4-5D6E-409C-BE32-E72D297353CC}">
              <c16:uniqueId val="{00000001-0E61-4987-BF09-12B92C3D1DED}"/>
            </c:ext>
          </c:extLst>
        </c:ser>
        <c:dLbls>
          <c:dLblPos val="inEnd"/>
          <c:showLegendKey val="0"/>
          <c:showVal val="1"/>
          <c:showCatName val="0"/>
          <c:showSerName val="0"/>
          <c:showPercent val="0"/>
          <c:showBubbleSize val="0"/>
        </c:dLbls>
        <c:gapWidth val="65"/>
        <c:axId val="1178506783"/>
        <c:axId val="1178508031"/>
      </c:barChart>
      <c:catAx>
        <c:axId val="117850678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1"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178508031"/>
        <c:crosses val="autoZero"/>
        <c:auto val="1"/>
        <c:lblAlgn val="ctr"/>
        <c:lblOffset val="100"/>
        <c:noMultiLvlLbl val="0"/>
      </c:catAx>
      <c:valAx>
        <c:axId val="117850803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7850678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latin typeface="Arial" panose="020B0604020202020204" pitchFamily="34" charset="0"/>
                <a:cs typeface="Arial" panose="020B0604020202020204" pitchFamily="34" charset="0"/>
              </a:rPr>
              <a:t>BUDGET &amp; TREASURY OFFICE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16</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Sheet1!$B$1:$E$1</c:f>
              <c:strCache>
                <c:ptCount val="4"/>
                <c:pt idx="0">
                  <c:v>Targets Achieved</c:v>
                </c:pt>
                <c:pt idx="1">
                  <c:v>Targets Not Achieved</c:v>
                </c:pt>
                <c:pt idx="2">
                  <c:v>Not Applicable in Q2</c:v>
                </c:pt>
                <c:pt idx="3">
                  <c:v>Q1 &amp; Q2 Consolidated Performance at Mid-year 31 December 2020</c:v>
                </c:pt>
              </c:strCache>
            </c:strRef>
          </c:cat>
          <c:val>
            <c:numRef>
              <c:f>Sheet1!$B$2:$E$2</c:f>
              <c:numCache>
                <c:formatCode>General</c:formatCode>
                <c:ptCount val="4"/>
                <c:pt idx="0">
                  <c:v>8</c:v>
                </c:pt>
                <c:pt idx="1">
                  <c:v>0</c:v>
                </c:pt>
                <c:pt idx="2">
                  <c:v>8</c:v>
                </c:pt>
                <c:pt idx="3">
                  <c:v>9</c:v>
                </c:pt>
              </c:numCache>
            </c:numRef>
          </c:val>
          <c:extLst>
            <c:ext xmlns:c16="http://schemas.microsoft.com/office/drawing/2014/chart" uri="{C3380CC4-5D6E-409C-BE32-E72D297353CC}">
              <c16:uniqueId val="{00000000-DC05-482D-84F9-DE70C60E7B93}"/>
            </c:ext>
          </c:extLst>
        </c:ser>
        <c:ser>
          <c:idx val="1"/>
          <c:order val="1"/>
          <c:tx>
            <c:strRef>
              <c:f>Sheet1!$A$3</c:f>
              <c:strCache>
                <c:ptCount val="1"/>
                <c:pt idx="0">
                  <c:v>Percentage achievement</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Sheet1!$B$1:$E$1</c:f>
              <c:strCache>
                <c:ptCount val="4"/>
                <c:pt idx="0">
                  <c:v>Targets Achieved</c:v>
                </c:pt>
                <c:pt idx="1">
                  <c:v>Targets Not Achieved</c:v>
                </c:pt>
                <c:pt idx="2">
                  <c:v>Not Applicable in Q2</c:v>
                </c:pt>
                <c:pt idx="3">
                  <c:v>Q1 &amp; Q2 Consolidated Performance at Mid-year 31 December 2020</c:v>
                </c:pt>
              </c:strCache>
            </c:strRef>
          </c:cat>
          <c:val>
            <c:numRef>
              <c:f>Sheet1!$B$3:$E$3</c:f>
              <c:numCache>
                <c:formatCode>0%</c:formatCode>
                <c:ptCount val="4"/>
                <c:pt idx="0">
                  <c:v>1</c:v>
                </c:pt>
                <c:pt idx="1">
                  <c:v>0</c:v>
                </c:pt>
                <c:pt idx="2">
                  <c:v>0.5</c:v>
                </c:pt>
                <c:pt idx="3">
                  <c:v>1</c:v>
                </c:pt>
              </c:numCache>
            </c:numRef>
          </c:val>
          <c:extLst>
            <c:ext xmlns:c16="http://schemas.microsoft.com/office/drawing/2014/chart" uri="{C3380CC4-5D6E-409C-BE32-E72D297353CC}">
              <c16:uniqueId val="{00000001-DC05-482D-84F9-DE70C60E7B93}"/>
            </c:ext>
          </c:extLst>
        </c:ser>
        <c:dLbls>
          <c:dLblPos val="inEnd"/>
          <c:showLegendKey val="0"/>
          <c:showVal val="1"/>
          <c:showCatName val="0"/>
          <c:showSerName val="0"/>
          <c:showPercent val="0"/>
          <c:showBubbleSize val="0"/>
        </c:dLbls>
        <c:gapWidth val="65"/>
        <c:axId val="1476064863"/>
        <c:axId val="1476069439"/>
      </c:barChart>
      <c:catAx>
        <c:axId val="14760648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800" b="1"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476069439"/>
        <c:crosses val="autoZero"/>
        <c:auto val="1"/>
        <c:lblAlgn val="ctr"/>
        <c:lblOffset val="100"/>
        <c:noMultiLvlLbl val="0"/>
      </c:catAx>
      <c:valAx>
        <c:axId val="147606943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7606486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a:latin typeface="Arial" panose="020B0604020202020204" pitchFamily="34" charset="0"/>
                <a:cs typeface="Arial" panose="020B0604020202020204" pitchFamily="34" charset="0"/>
              </a:rPr>
              <a:t>SUMMARY OF THE</a:t>
            </a:r>
            <a:r>
              <a:rPr lang="en-US" sz="1000" baseline="0">
                <a:latin typeface="Arial" panose="020B0604020202020204" pitchFamily="34" charset="0"/>
                <a:cs typeface="Arial" panose="020B0604020202020204" pitchFamily="34" charset="0"/>
              </a:rPr>
              <a:t> ORGANISATIONAL PERFORANCE FOR Q2 &amp; FOR MID-YEAR OF 2020/21</a:t>
            </a:r>
            <a:endParaRPr lang="en-US"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Sheet11!$A$2</c:f>
              <c:strCache>
                <c:ptCount val="1"/>
                <c:pt idx="0">
                  <c:v>94</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Sheet11!$B$1:$G$1</c:f>
              <c:strCache>
                <c:ptCount val="6"/>
                <c:pt idx="0">
                  <c:v>Targets Achieved</c:v>
                </c:pt>
                <c:pt idx="1">
                  <c:v>Targets Not Achieved</c:v>
                </c:pt>
                <c:pt idx="2">
                  <c:v>Targets not applicable in Q2</c:v>
                </c:pt>
                <c:pt idx="3">
                  <c:v>Targets not Applicable at Mid-year of 2020/21</c:v>
                </c:pt>
                <c:pt idx="4">
                  <c:v>Targets Achieved: Q1 &amp; Q2 Consolidated Performance at Mid-year 31 December 2020</c:v>
                </c:pt>
                <c:pt idx="5">
                  <c:v>Targets Not Achieved: Q1 &amp; Q2 Consolidated Performance at Mid-year 31 December 2020</c:v>
                </c:pt>
              </c:strCache>
            </c:strRef>
          </c:cat>
          <c:val>
            <c:numRef>
              <c:f>Sheet11!$B$2:$G$2</c:f>
              <c:numCache>
                <c:formatCode>General</c:formatCode>
                <c:ptCount val="6"/>
                <c:pt idx="0">
                  <c:v>45</c:v>
                </c:pt>
                <c:pt idx="1">
                  <c:v>11</c:v>
                </c:pt>
                <c:pt idx="2">
                  <c:v>38</c:v>
                </c:pt>
                <c:pt idx="3">
                  <c:v>35</c:v>
                </c:pt>
                <c:pt idx="4">
                  <c:v>50</c:v>
                </c:pt>
                <c:pt idx="5">
                  <c:v>14</c:v>
                </c:pt>
              </c:numCache>
            </c:numRef>
          </c:val>
          <c:extLst>
            <c:ext xmlns:c16="http://schemas.microsoft.com/office/drawing/2014/chart" uri="{C3380CC4-5D6E-409C-BE32-E72D297353CC}">
              <c16:uniqueId val="{00000000-F53E-4B07-B69D-F448695B66AE}"/>
            </c:ext>
          </c:extLst>
        </c:ser>
        <c:ser>
          <c:idx val="1"/>
          <c:order val="1"/>
          <c:tx>
            <c:strRef>
              <c:f>Sheet11!$A$3</c:f>
              <c:strCache>
                <c:ptCount val="1"/>
                <c:pt idx="0">
                  <c:v>Performance in Percentage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Sheet11!$B$1:$G$1</c:f>
              <c:strCache>
                <c:ptCount val="6"/>
                <c:pt idx="0">
                  <c:v>Targets Achieved</c:v>
                </c:pt>
                <c:pt idx="1">
                  <c:v>Targets Not Achieved</c:v>
                </c:pt>
                <c:pt idx="2">
                  <c:v>Targets not applicable in Q2</c:v>
                </c:pt>
                <c:pt idx="3">
                  <c:v>Targets not Applicable at Mid-year of 2020/21</c:v>
                </c:pt>
                <c:pt idx="4">
                  <c:v>Targets Achieved: Q1 &amp; Q2 Consolidated Performance at Mid-year 31 December 2020</c:v>
                </c:pt>
                <c:pt idx="5">
                  <c:v>Targets Not Achieved: Q1 &amp; Q2 Consolidated Performance at Mid-year 31 December 2020</c:v>
                </c:pt>
              </c:strCache>
            </c:strRef>
          </c:cat>
          <c:val>
            <c:numRef>
              <c:f>Sheet11!$B$3:$G$3</c:f>
              <c:numCache>
                <c:formatCode>0.00%</c:formatCode>
                <c:ptCount val="6"/>
                <c:pt idx="0">
                  <c:v>0.80300000000000005</c:v>
                </c:pt>
                <c:pt idx="1">
                  <c:v>0.19600000000000001</c:v>
                </c:pt>
                <c:pt idx="2">
                  <c:v>0.40400000000000003</c:v>
                </c:pt>
                <c:pt idx="3" formatCode="0%">
                  <c:v>0.37</c:v>
                </c:pt>
                <c:pt idx="4">
                  <c:v>0.84699999999999998</c:v>
                </c:pt>
                <c:pt idx="5">
                  <c:v>0.23699999999999999</c:v>
                </c:pt>
              </c:numCache>
            </c:numRef>
          </c:val>
          <c:extLst>
            <c:ext xmlns:c16="http://schemas.microsoft.com/office/drawing/2014/chart" uri="{C3380CC4-5D6E-409C-BE32-E72D297353CC}">
              <c16:uniqueId val="{00000001-F53E-4B07-B69D-F448695B66AE}"/>
            </c:ext>
          </c:extLst>
        </c:ser>
        <c:dLbls>
          <c:dLblPos val="inEnd"/>
          <c:showLegendKey val="0"/>
          <c:showVal val="1"/>
          <c:showCatName val="0"/>
          <c:showSerName val="0"/>
          <c:showPercent val="0"/>
          <c:showBubbleSize val="0"/>
        </c:dLbls>
        <c:gapWidth val="65"/>
        <c:axId val="1839169311"/>
        <c:axId val="1839168895"/>
      </c:barChart>
      <c:catAx>
        <c:axId val="18391693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839168895"/>
        <c:crosses val="autoZero"/>
        <c:auto val="1"/>
        <c:lblAlgn val="ctr"/>
        <c:lblOffset val="100"/>
        <c:noMultiLvlLbl val="0"/>
      </c:catAx>
      <c:valAx>
        <c:axId val="183916889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83916931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4E0F3-B246-481C-875C-79EE597D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19</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Nqobile N. Vakalisa</dc:creator>
  <cp:keywords/>
  <dc:description/>
  <cp:lastModifiedBy>Nqobile Vakalisa</cp:lastModifiedBy>
  <cp:revision>11</cp:revision>
  <dcterms:created xsi:type="dcterms:W3CDTF">2021-01-14T00:13:00Z</dcterms:created>
  <dcterms:modified xsi:type="dcterms:W3CDTF">2021-01-19T14:02:00Z</dcterms:modified>
</cp:coreProperties>
</file>